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2081/QD-BYT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lần đầu đối với tổ chức hỗ trợ nghiên cứu có hoạt động phân tích thống kê và quản lý dữ liệu nghiên cứu thử nghiệm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đăng ký hoạt động giám sát nghiên cứu thử nghiệm lâm sàng nộp hồ sơ về Bộ Y tế.</w:t>
      </w:r>
    </w:p>
    <w:p>
      <w:pPr>
        <w:spacing w:after="0" w:before="0" w:lineRule="auto" w:line="276"/>
        <w:jc w:val="both"/>
      </w:pPr>
      <w:r>
        <w:rPr>
          <w:rFonts w:ascii="Times New Roman" w:hAnsi="Times New Roman" w:cs="Times New Roman" w:eastAsia="Times New Roman"/>
          <w:b w:val="false"/>
          <w:sz w:val="26"/>
        </w:rPr>
        <w:t>Khi nhận hồ sơ, cơ quan tiếp nhận hồ sơ gửi cho tổ chức phiếu tiếp nhận hồ sơ theo mẫu 04 kèm theo Thông tư này, hướng dẫn bổ sung hồ sơ chưa hợp lệ.</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Bộ Y tế (Cục Khoa học công nghệ và Đào tạo) có trách nhiệm xem xét, có văn bản chấp thuận hoạt động hỗ trợ nghiên cứu thử nghiệm lâm sàng. Trong trường hợp không chấp thuận, Bộ Y tế (Cục Khoa học công nghệ và Đào tạo) phải có thông báo bằng văn bản trong đó nêu rõ lý do không chấp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hỗ trợ nghiên cứu thử nghiệm lâm sàng tại Việt Nam theo mẫu tại phụ lục số 01 của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một trong các văn bản: Quyết định thành lập, Giấy phép hoạt động, Giấy phép đầu tư, Giấy chứng nhận đăng ký kinh doanh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Bản kê khai nhân sự theo mẫu quy định tại phụ lục số 02 ban hành kèm theo Thông tư này và văn bằng, chứng chỉ của nhân viên phân tích thống kê và nhân viên quản lý dữ liệu bao gồm: + Bản sao chứng chỉ đào tạo về thống kê y sinh do cơ sở đào tạo có thẩm quyền tại Việt Nam hoặc nước ngoài cấp đối với nhân viên phân tích thống kê; + Bản sao chứng chỉ tập huấn bồi dưỡng định kỳ hàng năm về lĩnh vực thống kê của nhân viên phân tích thống kê; + Bản sao chứng chỉ hoặc giấy chứng nhận đào tạo về quản lý, sử dụng các phần mềm hoặc hệ thống quản lý dữ liệu đạt các tiêu chuẩn theo yêu cầu của GCP đối với nhân viên quản lý dữ liệu. + Danh mục các trang thiết bị, phần mềm thống kê và hệ thống công nghệ thông tin bảo mật, phù hợp với từng loại hình nghiên cứu phục vụ cho việc thu thập, xử lý, phân tích và quản lý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08/2014/TT-BYT</w:t>
            </w:r>
          </w:p>
        </w:tc>
        <w:tc>
          <w:p/>
          <w:p>
            <w:pPr>
              <w:spacing w:after="0" w:before="0" w:lineRule="auto" w:line="276"/>
              <w:jc w:val="left"/>
            </w:pPr>
            <w:r>
              <w:rPr>
                <w:rFonts w:ascii="Times New Roman" w:hAnsi="Times New Roman" w:cs="Times New Roman" w:eastAsia="Times New Roman"/>
                <w:b w:val="false"/>
                <w:sz w:val="26"/>
              </w:rPr>
              <w:t>Quy định hoạt động hỗ trợ nghiên cứu thử nghiệm lâm sàng tại Việt Nam</w:t>
            </w:r>
          </w:p>
        </w:tc>
        <w:tc>
          <w:p/>
          <w:p>
            <w:pPr>
              <w:spacing w:after="0" w:before="0" w:lineRule="auto" w:line="276"/>
              <w:jc w:val="left"/>
            </w:pPr>
            <w:r>
              <w:rPr>
                <w:rFonts w:ascii="Times New Roman" w:hAnsi="Times New Roman" w:cs="Times New Roman" w:eastAsia="Times New Roman"/>
                <w:b w:val="false"/>
                <w:sz w:val="26"/>
              </w:rPr>
              <w:t>26-02-2014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2026-05-02T02:00:44Z</dcterms:created>
  <dc:creator>Apache POI</dc:creator>
</cp:coreProperties>
</file>