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2.001711.000.00.00.H26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phương tiện thay đổi tên, tính năng kỹ thuật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Cơ quan đăng ký phương tiện bao gồm:</w:t>
      </w:r>
    </w:p>
    <w:p>
      <w:pPr>
        <w:spacing w:after="0" w:before="0" w:lineRule="auto" w:line="276"/>
        <w:jc w:val="both"/>
      </w:pPr>
      <w:r>
        <w:rPr>
          <w:rFonts w:ascii="Times New Roman" w:hAnsi="Times New Roman" w:cs="Times New Roman" w:eastAsia="Times New Roman"/>
          <w:b w:val="false"/>
          <w:sz w:val="26"/>
        </w:rPr>
        <w:t>+ Cục Đường thủy nội địa Việt Nam và các Chi cục Đường thủy nội địa khu vực tổ chức, thực hiện đăng ký phương tiện mang cấp VR-SB của tổ chức, cá nhân</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75/2014/TT-BGTVT ; cơ quan đăng ký quy định tại khoản 3 Điều 8 được tổ chức, thực hiện đăng ký phương tiện quy định tại khoản 4 Điều 8.</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Trong thời hạn 02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phương tiện đăng ký lại do thay đổi tính năng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phải nộp để lưu giữ tại cơ quan đăng ký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hoặc gửi bản chính hoặc bản sao có chứng thực hoặc bản sao điện tử được chứng thực từ bản chính hoặc bản sao điện tử được cấp từ sổ gốc: Giấy chứng nhận an toàn kỹ thuật và bảo vệ môi trường của phương tiện được cấp còn hiệu lực sau khi phương tiện đã thay đổi tính năng kỹ thuật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chi nhánh theo PA ủy quyền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 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2026-05-07T05:24:07Z</dcterms:created>
  <dc:creator>Apache POI</dc:creator>
</cp:coreProperties>
</file>