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Cục Đường thủy nội địa Việt Nam và các Chi cục Đường thủy nội địa khu vực tổ chức, thực hiện đăng ký phương tiện mang cấp VR-SB của tổ chức, cá nhân.</w:t>
      </w:r>
    </w:p>
    <w:p>
      <w:pPr>
        <w:spacing w:after="0" w:before="0" w:lineRule="auto" w:line="276"/>
        <w:jc w:val="both"/>
      </w:pPr>
      <w:r>
        <w:rPr>
          <w:rFonts w:ascii="Times New Roman" w:hAnsi="Times New Roman" w:cs="Times New Roman" w:eastAsia="Times New Roman"/>
          <w:b w:val="false"/>
          <w:sz w:val="26"/>
        </w:rPr>
        <w:t>+ Sở Giao thông vận tải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quản lý giao thông cấp huyện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02 ngày làm việc, kể từ ngày nhận đủ hồ sơ theo quy định, cơ quan đăng ký cấp giấy chứng nhận xóa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chi nhánh theo PA ủy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01-01-2017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2026-05-07T05:23:19Z</dcterms:created>
  <dc:creator>Apache POI</dc:creator>
</cp:coreProperties>
</file>