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tiếp nhận có trách nhiệm kiểm tra, đối chiếu thông tin trong Tờ khai và tính hợp lệ của giấy tờ do người yêu cầu xuất trình hoặc nộp.</w:t>
      </w:r>
    </w:p>
    <w:p>
      <w:pPr>
        <w:spacing w:after="0" w:before="0" w:lineRule="auto" w:line="276"/>
        <w:jc w:val="both"/>
      </w:pPr>
      <w:r>
        <w:rPr>
          <w:rFonts w:ascii="Times New Roman" w:hAnsi="Times New Roman" w:cs="Times New Roman" w:eastAsia="Times New Roman"/>
          <w:b w:val="false"/>
          <w:sz w:val="26"/>
        </w:rPr>
        <w:t>Hồ sơ yêu cầu cấp bản sao trích lục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Ngay sau khi tiếp nhận hồ sơ, nếu thấy hồ sơ đầy đủ và phù hợp, công chức làm công tác hộ tịch căn cứ vào Cơ sở dữ liệu hộ tịch, ghi nội dung bản sao trích lục hộ tịch, báo cáo Thủ trưởng cơ quan quản lý cơ sở dữ liệu hộ tịch ký cấp bản sao trích lục hộ tịch cho người yêu cầu.</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Người có yêu cầu cấp bản sao trích lục hộ tịch nộp hồ sơ tại Cơ quan quản lý Cơ sở dữ liệu hộ tịch có thẩm quyền.
Trường hợp cơ quan, tổ chức có thẩm quyền đề nghị cấp bản sao trích lục hộ tịch của cá nhân thì gửi văn bản yêu cầu nêu rõ lý do cho Cơ quan quản lý Cơ sở dữ liệu hộ tịch.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612016-nq-hdnd.pdf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thông tu 281-2016-TT-BTC.pdf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thông tu 281-2016-TT-BTC.pdf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nhận và trả kết quả giải quyết TTHC, Trung tâm phục vụ hành chính công số 258 Võ Chí Công,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2026-05-07T05:38:50Z</dcterms:created>
  <dc:creator>Apache POI</dc:creator>
</cp:coreProperties>
</file>