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1893/QĐ-BTC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gói, kiện hàng hóa xuất khẩu có trị giá hải quan dưới 5 triệu đồng, được miễn thuế xuất khẩu hoặc chịu thuế xuất khẩu với thuế suất là 0% và không thuộc mặt hàng phải có giấy phép xuất khẩu, kiểm tra chuyên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thay mặt chủ hàng làm thủ tục hải quan, xuất trình hồ sơ và gói, kiện hàng hóa để công chức hải quan kiểm tra theo yêu cầu:
+ Khai và gửi đầy đủ các chỉ tiêu thông tin trên tờ khai đến Hệ thống xử lý dữ liệu điện tử hải quan; nhận thông tin phản hồi từ Hệ thống (đối với khai điện tử) hoặc Thực hiện khai tờ khai hải quan giấy theo quy định tại khoản 12 Điều 1 Nghị định 59/2018/NĐ-CP .
+ Xuất trình hồ sơ hải quan và gói, kiện hàng hóa để kiểm tra theo quyết định của cơ quan hải quan.
+ Khai sửa đổi bổ sung, hủy tờ khai (nếu có).
+ Thực hiện các quyết định của cơ quan hải quan</w:t>
      </w:r>
    </w:p>
    <w:p>
      <w:pPr>
        <w:spacing w:after="0" w:before="0" w:lineRule="auto" w:line="276"/>
        <w:jc w:val="both"/>
      </w:pPr>
      <w:r>
        <w:rPr>
          <w:rFonts w:ascii="Times New Roman" w:hAnsi="Times New Roman" w:cs="Times New Roman" w:eastAsia="Times New Roman"/>
          <w:b w:val="false"/>
          <w:sz w:val="26"/>
        </w:rPr>
        <w:t>Bước 2: Cơ quan hải quan thực hiện làm thủ tục hải quan đối với hàng hóa nhập khẩu theo quy định:
+ Tiếp nhận và kiểm tra hồ sơ hải quan, hồ sơ khai sửa đổi, bổ sung (nếu có)
+ Tiếp nhận, kiểm tra hồ sơ đề nghị hủy tờ khai của doanh nghiệp và thực hiện hủy tờ khai theo quy định.
+ Thực hiện thông quan gói, kiện hàng hóa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 Nộp hồ sơ trực tiếp tại trụ sở cơ quan hải quan.
- 1. Cơ quan hải quan tiếp nhận, đăng ký, kiểm tra hồ sơ hải quan ngay sau khi người khai hải quan nộp, xuất trình hồ sơ hải quan theo quy định của Luật Hải quan.
2. Sau khi người khai hải quan thực hiện đầy đủ các yêu cầu để làm thủ tục hải quan quy định tại điểm a và điểm b khoản 1 Điều 21 của Luật Hải quan, thời hạn công chức hải quan hoàn thành kiểm tra hồ sơ và kiểm tra thực tế hàng hóa, phương tiện vận tải được quy định như sau:
a) Hoàn thành việc kiểm tra hồ sơ chậm nhất là 02 giờ làm việc kể từ thời điểm cơ quan hải quan tiếp nhận đầy đủ hồ sơ hải quan;
b) Hoàn thành việc kiểm tra thực tế hàng hóa chậm nhất là 08 giờ làm việc kể từ thời điểm người khai hải quan xuất trình đầy đủ hàng hóa cho cơ quan hải quan.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
- 1. Cơ quan hải quan tiếp nhận, đăng ký, kiểm tra hồ sơ hải quan ngay sau khi người khai hải quan nộp, xuất trình hồ sơ hải quan theo quy định của Luật Hải quan.
2. Sau khi người khai hải quan thực hiện đầy đủ các yêu cầu để làm thủ tục hải quan quy định tại điểm a và điểm b khoản 1 Điều 21 của Luật Hải quan, thời hạn công chức hải quan hoàn thành kiểm tra hồ sơ và kiểm tra thực tế hàng hóa, phương tiện vận tải được quy định như sau:
a) Hoàn thành việc kiểm tra hồ sơ chậm nhất là 02 giờ làm việc kể từ thời điểm cơ quan hải quan tiếp nhận đầy đủ hồ sơ hải quan;
b) Hoàn thành việc kiểm tra thực tế hàng hóa chậm nhất là 08 giờ làm việc kể từ thời điểm người khai hải quan xuất trình đầy đủ hàng hóa cho cơ quan hải quan.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hải quan hàng hóa xuất khẩu trị giá thấp đối với gói, kiện hàng hóa xuất khẩu theo chỉ tiêu thông tin tại phần A Phụ lục I Danh mục 1 ban hành kèm theo Thông tư này.</w:t>
            </w:r>
          </w:p>
        </w:tc>
        <w:tc>
          <w:p/>
          <w:p>
            <w:pPr>
              <w:spacing w:after="0" w:before="0" w:lineRule="auto" w:line="276"/>
              <w:jc w:val="left"/>
            </w:pPr>
            <w:r>
              <w:rPr>
                <w:rFonts w:ascii="Times New Roman" w:hAnsi="Times New Roman" w:cs="Times New Roman" w:eastAsia="Times New Roman"/>
                <w:b w:val="false"/>
                <w:sz w:val="26"/>
              </w:rPr>
              <w:t>PHỤ LỤC - ờ khai hàng hóa xuất khẩu, nhập khẩu trị giá thấp, HQ2015.XK.docx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thực hiện trên tờ khai hải quan giấy theo quy định tại khoản 12 Điều 1 Nghị định số 59/2018/NĐ-CP ngày 20/4/2018, doanh nghiệp khai và nộp 02 bản chính tờ khai hải quan hàng hóa xuất khẩu theo mẫu HQ/2015/XK Phụ lục IV ban hành kèm Thông tư số 38/2015/TT-BTC ngày 25/3/2015 đã được khai theo hướng dẫn tại Phụ lục II Danh mục 1 ban hành kèm theo Thông tư này;</w:t>
            </w:r>
          </w:p>
        </w:tc>
        <w:tc>
          <w:p/>
          <w:p>
            <w:pPr>
              <w:spacing w:after="0" w:before="0" w:lineRule="auto" w:line="276"/>
              <w:jc w:val="left"/>
            </w:pPr>
            <w:r>
              <w:rPr>
                <w:rFonts w:ascii="Times New Roman" w:hAnsi="Times New Roman" w:cs="Times New Roman" w:eastAsia="Times New Roman"/>
                <w:b w:val="false"/>
                <w:sz w:val="26"/>
              </w:rPr>
              <w:t>PHỤ LỤC - ờ khai hàng hóa xuất khẩu, nhập khẩu trị giá thấp, HQ2015.XK.docx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Hóa đơn thương mại (nếu có):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hải quan có xác nhận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Luật Hải quan về thủ tục hải quan, kiểm tra, giám sát, kiểm soát hải quan</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Quy định về thủ tục hải quan; kiểm tra, giám sát hải quan; thuế xuất khẩu thuế nhập khẩu và quản lý thuế đối vớỉ hàng hoá xuất khẩu, nhập khẩu.</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08/2015/NĐ-CP ngày 21 tháng 01 năm 2015 của Chính phủ quy định chi tiết và biện pháp thi hành Luật hải quan về thủ tục hải quan, kiểm tra, giám sát, kiểm soát hải quan</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39/2018/TT-BTC </w:t>
            </w:r>
          </w:p>
        </w:tc>
        <w:tc>
          <w:p/>
          <w:p>
            <w:pPr>
              <w:spacing w:after="0" w:before="0" w:lineRule="auto" w:line="276"/>
              <w:jc w:val="left"/>
            </w:pPr>
            <w:r>
              <w:rPr>
                <w:rFonts w:ascii="Times New Roman" w:hAnsi="Times New Roman" w:cs="Times New Roman" w:eastAsia="Times New Roman"/>
                <w:b w:val="false"/>
                <w:sz w:val="26"/>
              </w:rPr>
              <w:t>Thông tư số 39/2018/TT-BTC ngày 20/4/2018 của Bộ Tài chính sửa đổi, bổ sung một số điều tại Thông tư số 38/2015/TT-BTC ngày 25/3/2015 của Bộ Tài chính quy định về thủ tục hải quan; kiểm tra, giám sát hải quan; thuế xuất khẩu, thuế nhập khẩu và quản lý thuế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 49/2015/TT-BTC</w:t>
            </w:r>
          </w:p>
        </w:tc>
        <w:tc>
          <w:p/>
          <w:p>
            <w:pPr>
              <w:spacing w:after="0" w:before="0" w:lineRule="auto" w:line="276"/>
              <w:jc w:val="left"/>
            </w:pPr>
            <w:r>
              <w:rPr>
                <w:rFonts w:ascii="Times New Roman" w:hAnsi="Times New Roman" w:cs="Times New Roman" w:eastAsia="Times New Roman"/>
                <w:b w:val="false"/>
                <w:sz w:val="26"/>
              </w:rPr>
              <w:t>Thông tư số 49/2015/TT-BTC ngày 14/4/2015 của Bộ Tài chính quy định thủ tục hải quan đối với thư, gói, kiện hàng hóa xuất khẩu, nhập khẩu gửi qua dịch vụ bưu chính của doanh nghiệp được chỉ định.</w:t>
            </w:r>
          </w:p>
        </w:tc>
        <w:tc>
          <w:p/>
          <w:p>
            <w:pPr>
              <w:spacing w:after="0" w:before="0" w:lineRule="auto" w:line="276"/>
              <w:jc w:val="left"/>
            </w:pPr>
            <w:r>
              <w:rPr>
                <w:rFonts w:ascii="Times New Roman" w:hAnsi="Times New Roman" w:cs="Times New Roman" w:eastAsia="Times New Roman"/>
                <w:b w:val="false"/>
                <w:sz w:val="26"/>
              </w:rPr>
              <w:t>14-04-2015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56/2019/TT-BTC</w:t>
            </w:r>
          </w:p>
        </w:tc>
        <w:tc>
          <w:p/>
          <w:p>
            <w:pPr>
              <w:spacing w:after="0" w:before="0" w:lineRule="auto" w:line="276"/>
              <w:jc w:val="left"/>
            </w:pPr>
            <w:r>
              <w:rPr>
                <w:rFonts w:ascii="Times New Roman" w:hAnsi="Times New Roman" w:cs="Times New Roman" w:eastAsia="Times New Roman"/>
                <w:b w:val="false"/>
                <w:sz w:val="26"/>
              </w:rPr>
              <w:t>Thông tư số 56/2019/TT-BTC ngày 23/8/2019 của Bộ Tài chính</w:t>
            </w:r>
          </w:p>
        </w:tc>
        <w:tc>
          <w:p/>
          <w:p>
            <w:pPr>
              <w:spacing w:after="0" w:before="0" w:lineRule="auto" w:line="276"/>
              <w:jc w:val="left"/>
            </w:pPr>
            <w:r>
              <w:rPr>
                <w:rFonts w:ascii="Times New Roman" w:hAnsi="Times New Roman" w:cs="Times New Roman" w:eastAsia="Times New Roman"/>
                <w:b w:val="false"/>
                <w:sz w:val="26"/>
              </w:rPr>
              <w:t>23-08-2019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274/2016/TT-BTC</w:t>
            </w:r>
          </w:p>
        </w:tc>
        <w:tc>
          <w:p/>
          <w:p>
            <w:pPr>
              <w:spacing w:after="0" w:before="0" w:lineRule="auto" w:line="276"/>
              <w:jc w:val="left"/>
            </w:pPr>
            <w:r>
              <w:rPr>
                <w:rFonts w:ascii="Times New Roman" w:hAnsi="Times New Roman" w:cs="Times New Roman" w:eastAsia="Times New Roman"/>
                <w:b w:val="false"/>
                <w:sz w:val="26"/>
              </w:rPr>
              <w:t>Thông tư số 274/2016/TT-BTC ngày 14/11/2016 của Bộ Tài chính quy định mức thu, chế độ thu, nộp, quản lý và sử dụng phí hải quan và lệ phí hàng hóa, phương tiện quá cảnh.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2026-05-13T19:17:51Z</dcterms:created>
  <dc:creator>Apache POI</dc:creator>
</cp:coreProperties>
</file>