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tục hoạt động đại lý làm thủ tục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hồ sơ:
Doanh nghiệp có yêu cầu tiếp tục hoạt động đại lý làm thủ tục hải quan lập hồ sơ đề nghị tiếp tục hoạt động đại lý làm thủ tục hải quan gửi Tổng cục Hải quan.</w:t>
      </w:r>
    </w:p>
    <w:p>
      <w:pPr>
        <w:spacing w:after="0" w:before="0" w:lineRule="auto" w:line="276"/>
        <w:jc w:val="both"/>
      </w:pPr>
      <w:r>
        <w:rPr>
          <w:rFonts w:ascii="Times New Roman" w:hAnsi="Times New Roman" w:cs="Times New Roman" w:eastAsia="Times New Roman"/>
          <w:b w:val="false"/>
          <w:sz w:val="26"/>
        </w:rPr>
        <w:t>Bước 2. Tiếp tục hoạt động đại lý làm thủ tục hải quan:
Tổng cục Hải quan tiếp nhận, kiểm tra hồ sơ và tổ chức kiểm tra xác minh điều kiện hoạt động đại lý làm thủ tục hải quan của doanh nghiệp theo quy định; Tổng cục trưởng Tổng cục Hải quan ra quyết định tiếp tục hoạt động đại lý làm thủ tục hải quan nếu đáp ứng đủ điều kiện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đề nghị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đề nghị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đề nghị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tiếp tục hoạt động đại lý làm thủ tục hải quan.</w:t>
            </w:r>
          </w:p>
        </w:tc>
        <w:tc>
          <w:p/>
          <w:p>
            <w:pPr>
              <w:spacing w:after="0" w:before="0" w:lineRule="auto" w:line="276"/>
              <w:jc w:val="left"/>
            </w:pPr>
            <w:r>
              <w:rPr>
                <w:rFonts w:ascii="Times New Roman" w:hAnsi="Times New Roman" w:cs="Times New Roman" w:eastAsia="Times New Roman"/>
                <w:b w:val="false"/>
                <w:sz w:val="26"/>
              </w:rPr>
              <w:t>22_2019_TT_BTC_PL.doc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tục hoạt động đại lý làm thủ tục hải quan hoặc văn bản trả lời và nêu rõ lý do không đáp ứng đủ điều kiện theo quy địn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12/2015/TT-BTC</w:t>
            </w:r>
          </w:p>
        </w:tc>
        <w:tc>
          <w:p/>
          <w:p>
            <w:pPr>
              <w:spacing w:after="0" w:before="0" w:lineRule="auto" w:line="276"/>
              <w:jc w:val="left"/>
            </w:pPr>
            <w:r>
              <w:rPr>
                <w:rFonts w:ascii="Times New Roman" w:hAnsi="Times New Roman" w:cs="Times New Roman" w:eastAsia="Times New Roman"/>
                <w:b w:val="false"/>
                <w:sz w:val="26"/>
              </w:rPr>
              <w:t>Thông tư 12/2015/TT-BTC</w:t>
            </w:r>
          </w:p>
        </w:tc>
        <w:tc>
          <w:p/>
          <w:p>
            <w:pPr>
              <w:spacing w:after="0" w:before="0" w:lineRule="auto" w:line="276"/>
              <w:jc w:val="left"/>
            </w:pPr>
            <w:r>
              <w:rPr>
                <w:rFonts w:ascii="Times New Roman" w:hAnsi="Times New Roman" w:cs="Times New Roman" w:eastAsia="Times New Roman"/>
                <w:b w:val="false"/>
                <w:sz w:val="26"/>
              </w:rPr>
              <w:t>30-01-2015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22/2019/TT-BTC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12/2015/TT-BTC ngày 30 tháng 01 năm 2015 của Bộ trưởng Bộ Tài chính quy định chi tiết thủ tục cấp Chứng chỉ nghiệp vụ khai hải quan; cấp và thu hồi mã số nhân viên đại lý làm thủ tục hải quan; trình tư, thủ tục công nhận và hoạt động đại lý làm thủ tục hải quan</w:t>
            </w:r>
          </w:p>
        </w:tc>
        <w:tc>
          <w:p/>
          <w:p>
            <w:pPr>
              <w:spacing w:after="0" w:before="0" w:lineRule="auto" w:line="276"/>
              <w:jc w:val="left"/>
            </w:pPr>
            <w:r>
              <w:rPr>
                <w:rFonts w:ascii="Times New Roman" w:hAnsi="Times New Roman" w:cs="Times New Roman" w:eastAsia="Times New Roman"/>
                <w:b w:val="false"/>
                <w:sz w:val="26"/>
              </w:rPr>
              <w:t>16-04-2019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đáp ứng đủ điều kiện hoạt động đại lý làm thủ tục hải quan theo quy định tại khoản 1 Điều 20 Luật Hải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2026-05-24T15:48:03Z</dcterms:created>
  <dc:creator>Apache POI</dc:creator>
</cp:coreProperties>
</file>