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sử dụng, thay đổi, huỷ mẫu con dấu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sử dụng, thay đổi, huỷ mẫu con dấu, thay đổi số lượng con dấu của doanh nghiệp, chi nhánh, văn phòng đại diện, doanh nghiệp gửi thông báo đến Phòng Đăng ký kinh doanh nơi doanh nghiệp, chi nhánh, văn phòng đại diện đặt trụ sở để đăng tải thông báo về mẫu con dấu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cho doanh nghiệp, thực hiện đăng tải mẫu con dấu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Trường hợp doanh nghiệp thực hiện thủ tục thông báo mẫu dấu qua mạng điện tử, doanh nghiệp không phải nộp hồ sơ thông báo mẫu dẫu bằng bản giấy đến Phòng đăng ký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và thực hiện đăng tải trên Cổng thông tin quốc gia về đăng ký doanh nghiệp.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phí khi công bố mẫu con dấu.)</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Thông báo mẫu con dấu/Thông báo về việc thay đổi mẫu con dấu, số lượng con dấu/Thông báo về việc huỷ mẫu con dấu của doanh nghiệp/chi nhánh/văn phòng đại diện của doanh nghiệp tới Phòng Đăng ký kinh doanh cấp tỉnh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và thực hiện đăng tải trên Cổng thông tin quốc gia về đăng ký doanh nghiệp.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phí khi công bố mẫu con dấu.)</w:t>
            </w:r>
          </w:p>
        </w:tc>
        <w:tc>
          <w:p/>
          <w:p>
            <w:pPr>
              <w:spacing w:after="0" w:before="0" w:lineRule="auto" w:line="276"/>
              <w:jc w:val="left"/>
            </w:pPr>
            <w:r>
              <w:rPr>
                <w:rFonts w:ascii="Times New Roman" w:hAnsi="Times New Roman" w:cs="Times New Roman" w:eastAsia="Times New Roman"/>
                <w:b w:val="false"/>
                <w:sz w:val="26"/>
              </w:rPr>
              <w:t>qua mạng điện tử theo quy trình trên Cổng thông tin quốc gia về đăng ký doanh nghiệp (https://dangkykinhdoanh.gov.vn).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và thực hiện đăng tải trên Cổng thông tin quốc gia về đăng ký doanh nghiệp. </w:t>
            </w:r>
          </w:p>
        </w:tc>
        <w:tc>
          <w:p/>
          <w:p>
            <w:pPr>
              <w:spacing w:after="0" w:before="0" w:lineRule="auto" w:line="276"/>
              <w:jc w:val="left"/>
            </w:pPr>
            <w:r>
              <w:rPr>
                <w:rFonts w:ascii="Times New Roman" w:hAnsi="Times New Roman" w:cs="Times New Roman" w:eastAsia="Times New Roman"/>
                <w:b w:val="false"/>
                <w:sz w:val="26"/>
              </w:rPr>
              <w:t>Lệ phí :  Đồng</w:t>
              <w:t xml:space="preserve"> (Miễn phí khi công bố mẫu con dấu.)</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Thông báo mẫu con dấu/Thông báo về việc thay đổi mẫu con dấu, số lượng con dấu/Thông báo về việc huỷ mẫu con dấu của doanh nghiệp/chi nhánh/văn phòng đại diện của doanh nghiệp tới Phòng Đăng ký kinh doanh cấp tỉnh nơi doanh nghiệp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5. Đối với chi nhánh/văn phòng đại diện hoạt động theo Giấy chứng nhận đầu tư hoặc các giấy tờ có giá trị pháp lý tương đương do cơ quan đăng ký đầu tư cấp thì ngoài các giấy tờ nêu trên, doanh nghiệp nộp kèm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hoạt động đối với chi nhánh/văn phòng đại diện/địa điểm kinh doanh của doanh nghiệp hoạt động theo Giấy chứng nhận đầu tư/Giấy phép đầu tư quy định tại Phụ lục II-19 Thông tư số 02/2019/TT-BKHĐT; bản sao hợp lệ Giấy chứng nhận đầu tư và bản sao hợp lệ Giấy chứng nhận đăng ký thuế của chi nhánh.</w:t>
            </w:r>
          </w:p>
        </w:tc>
        <w:tc>
          <w:p/>
          <w:p>
            <w:pPr>
              <w:spacing w:after="0" w:before="0" w:lineRule="auto" w:line="276"/>
              <w:jc w:val="left"/>
            </w:pPr>
            <w:r>
              <w:rPr>
                <w:rFonts w:ascii="Times New Roman" w:hAnsi="Times New Roman" w:cs="Times New Roman" w:eastAsia="Times New Roman"/>
                <w:b w:val="false"/>
                <w:sz w:val="26"/>
              </w:rPr>
              <w:t>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chứng nhận đầu tư và bản sao hợp lệ Giấy chứng nhận đăng ký thuế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Thông báo về việc thay đổi mẫu con dấu/số lượng con dấu của doanh nghiệp/chi nhánh/văn phòng đại diện (Phụ lục II-9, Thông tư số 02/2019/TT-BKHĐT) đối với trường hợp thay đổi mẫu con dấu/số lượng con dấu; Thông báo về việc hủy mẫu con dấu của doanh nghiệp/chi nhánh/văn phòng đại diện (Phụ lục II-10, Thông tư số 02/2019/TT-BKHĐT) đối với trường hợp huỷ mẫu con dấu;</w:t>
            </w:r>
          </w:p>
        </w:tc>
        <w:tc>
          <w:p/>
          <w:p>
            <w:pPr>
              <w:spacing w:after="0" w:before="0" w:lineRule="auto" w:line="276"/>
              <w:jc w:val="left"/>
            </w:pPr>
            <w:r>
              <w:rPr>
                <w:rFonts w:ascii="Times New Roman" w:hAnsi="Times New Roman" w:cs="Times New Roman" w:eastAsia="Times New Roman"/>
                <w:b w:val="false"/>
                <w:sz w:val="26"/>
              </w:rPr>
              <w:t>II-9.docx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hủy mẫu con dấu của doanh nghiệp/chi nhánh/văn phòng đại diện (Phụ lục II-10, Thông tư số 02/2019/TT-BKHĐT) đối với trường hợp huỷ mẫu con dấu;</w:t>
            </w:r>
          </w:p>
        </w:tc>
        <w:tc>
          <w:p/>
          <w:p>
            <w:pPr>
              <w:spacing w:after="0" w:before="0" w:lineRule="auto" w:line="276"/>
              <w:jc w:val="left"/>
            </w:pPr>
            <w:r>
              <w:rPr>
                <w:rFonts w:ascii="Times New Roman" w:hAnsi="Times New Roman" w:cs="Times New Roman" w:eastAsia="Times New Roman"/>
                <w:b w:val="false"/>
                <w:sz w:val="26"/>
              </w:rPr>
              <w:t>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doanh nghiệp (Phụ lục II-18 Thông tư số 02/2019/TT-BKHĐT);</w:t>
            </w:r>
          </w:p>
        </w:tc>
        <w:tc>
          <w:p/>
          <w:p>
            <w:pPr>
              <w:spacing w:after="0" w:before="0" w:lineRule="auto" w:line="276"/>
              <w:jc w:val="left"/>
            </w:pPr>
            <w:r>
              <w:rPr>
                <w:rFonts w:ascii="Times New Roman" w:hAnsi="Times New Roman" w:cs="Times New Roman" w:eastAsia="Times New Roman"/>
                <w:b w:val="false"/>
                <w:sz w:val="26"/>
              </w:rPr>
              <w:t>II-18.docx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hoạt động đối với chi nhánh/văn phòng đại diện/địa điểm kinh doanh của doanh nghiệp hoạt động theo Giấy chứng nhận đầu tư/Giấy phép đầu tư (Phụ lục II-19 Thông tư số 02/2019/TT-BKHĐT).</w:t>
            </w:r>
          </w:p>
        </w:tc>
        <w:tc>
          <w:p/>
          <w:p>
            <w:pPr>
              <w:spacing w:after="0" w:before="0" w:lineRule="auto" w:line="276"/>
              <w:jc w:val="left"/>
            </w:pPr>
            <w:r>
              <w:rPr>
                <w:rFonts w:ascii="Times New Roman" w:hAnsi="Times New Roman" w:cs="Times New Roman" w:eastAsia="Times New Roman"/>
                <w:b w:val="false"/>
                <w:sz w:val="26"/>
              </w:rPr>
              <w:t>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sử dụng mẫu con dấu của doanh nghiệp/chi nhánh/văn phòng đại diện (Phụ lục II-8, Thông tư số 02/2019/TT-BKHĐT) đối với trường hợp sử dụng con dấu;	</w:t>
            </w:r>
          </w:p>
        </w:tc>
        <w:tc>
          <w:p/>
          <w:p>
            <w:pPr>
              <w:spacing w:after="0" w:before="0" w:lineRule="auto" w:line="276"/>
              <w:jc w:val="left"/>
            </w:pPr>
            <w:r>
              <w:rPr>
                <w:rFonts w:ascii="Times New Roman" w:hAnsi="Times New Roman" w:cs="Times New Roman" w:eastAsia="Times New Roman"/>
                <w:b w:val="false"/>
                <w:sz w:val="26"/>
              </w:rPr>
              <w:t>Phu luc II-8_TT07.2019.docx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Kế hoạch và Đầu tư tại Trung tâm Phục vụ hành chính công tỉnh Thanh Hóa (Số 28 Đại lộ Lê Lợi, phường Điện Biên, thành phố Thanh Hóa) hoặc qua mạng điện tử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mẫu con dấu/Thông báo về việc thay đổi mẫu con dấu, số lượng con dấu/Thông báo về việc huỷ mẫu con dấu của doanh nghiệp/chi nhánh/văn phòng đại diện của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108/2018/NĐ-CP</w:t>
            </w:r>
          </w:p>
        </w:tc>
        <w:tc>
          <w:p/>
          <w:p>
            <w:pPr>
              <w:spacing w:after="0" w:before="0" w:lineRule="auto" w:line="276"/>
              <w:jc w:val="left"/>
            </w:pPr>
            <w:r>
              <w:rPr>
                <w:rFonts w:ascii="Times New Roman" w:hAnsi="Times New Roman" w:cs="Times New Roman" w:eastAsia="Times New Roman"/>
                <w:b w:val="false"/>
                <w:sz w:val="26"/>
              </w:rPr>
              <w:t>Nghị định 108/2018/NĐ-CP</w:t>
            </w:r>
          </w:p>
        </w:tc>
        <w:tc>
          <w:p/>
          <w:p>
            <w:pPr>
              <w:spacing w:after="0" w:before="0" w:lineRule="auto" w:line="276"/>
              <w:jc w:val="left"/>
            </w:pPr>
            <w:r>
              <w:rPr>
                <w:rFonts w:ascii="Times New Roman" w:hAnsi="Times New Roman" w:cs="Times New Roman" w:eastAsia="Times New Roman"/>
                <w:b w:val="false"/>
                <w:sz w:val="26"/>
              </w:rPr>
              <w:t>23-08-2018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sử dụng con dấu/thay đổi/huỷ mẫu con dấu/thay đổi số lượng con dấu của doanh nghiệp, chi nhánh, văn phòng đại diện, doanh nghiệp gửi thông báo đến Phòng Đăng ký kinh doanh nơi doanh nghiệp, chi nhánh, văn phòng đại diện đặt trụ sở để đăng tải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sử dụng, thay đổi, huỷ mẫu con dấu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2026-05-24T15:18:30Z</dcterms:created>
  <dc:creator>Apache POI</dc:creator>
</cp:coreProperties>
</file>