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2.002079.000.00.00.H56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3942/QĐ-UBND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hoạt động chi nhánh, văn phòng đại diện (đối với doanh nghiệp hoạt động theo Giấy phép đầu tư, Giấy chứng nhận đầu tư hoặc các giấy tờ có giá trị pháp lý tương đương)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doanh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Trường hợp doanh nghiệp hoạt động theo Giấy phép đầu tư, Giấy chứng nhận đầu  tư  hoặc các giấy tờ có giá trị pháp lý tương đương đăng ký thay đổi nội dung đăng ký hoạt động chi nhánh, văn phòng đại diện, doanh nghiệp nộp hồ sơ đến Phòng Đăng ký kinh doanh nơi chi nhánh, văn phòng đại diện đặt trụ sở.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50000 Đồng</w:t>
            </w:r>
          </w:p>
        </w:tc>
        <w:tc>
          <w:p/>
          <w:p>
            <w:pPr>
              <w:spacing w:after="0" w:before="0" w:lineRule="auto" w:line="276"/>
              <w:jc w:val="left"/>
            </w:pPr>
            <w:r>
              <w:rPr>
                <w:rFonts w:ascii="Times New Roman" w:hAnsi="Times New Roman" w:cs="Times New Roman" w:eastAsia="Times New Roman"/>
                <w:b w:val="false"/>
                <w:sz w:val="26"/>
              </w:rPr>
              <w:t>Người đại diện theo pháp luật gửi trực tiếp hồ sơ tới Phòng Đăng ký kinh doanh cấp tỉnh nơi đặt trụ sở chi nhánh, văn phòng đại diện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(Miễn lệ phí đối với trường hợp đăng ký qua mạng điện tử (Thông tư số 47/2019/TT-BTC).)</w:t>
            </w:r>
          </w:p>
        </w:tc>
        <w:tc>
          <w:p/>
          <w:p>
            <w:pPr>
              <w:spacing w:after="0" w:before="0" w:lineRule="auto" w:line="276"/>
              <w:jc w:val="left"/>
            </w:pPr>
            <w:r>
              <w:rPr>
                <w:rFonts w:ascii="Times New Roman" w:hAnsi="Times New Roman" w:cs="Times New Roman" w:eastAsia="Times New Roman"/>
                <w:b w:val="false"/>
                <w:sz w:val="26"/>
              </w:rPr>
              <w:t xml:space="preserve"> qua mạng điện tử theo quy trình trên Cổng thông tin quốc gia về đăng ký doanh nghiệp (https://dangkykinhdoanh.gov.vn).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50000 Đồng</w:t>
            </w:r>
          </w:p>
        </w:tc>
        <w:tc>
          <w:p/>
          <w:p>
            <w:pPr>
              <w:spacing w:after="0" w:before="0" w:lineRule="auto" w:line="276"/>
              <w:jc w:val="left"/>
            </w:pPr>
            <w:r>
              <w:rPr>
                <w:rFonts w:ascii="Times New Roman" w:hAnsi="Times New Roman" w:cs="Times New Roman" w:eastAsia="Times New Roman"/>
                <w:b w:val="false"/>
                <w:sz w:val="26"/>
              </w:rPr>
              <w:t>Người đại diện theo pháp luật gửi trực tiếp hồ sơ tới Phòng Đăng ký kinh doanh cấp tỉnh nơi đặt trụ sở chi nhánh, văn phòng đại diện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ủy quyền thực hiện thủ tục đăng ký doanh nghiệp thì người được ủy quyền phải nộp bản sao hợp lệ một trong các giấy tờ chứng thực cá nhân (cụ thể: Đối với công dân Việt Nam: Thẻ căn cước công dân hoặc Chứng minh nhân dân hoặc Hộ chiếu Việt Nam còn hiệu lực; Đối với người nước ngoài: Hộ chiếu nước ngoài hoặc giấy tờ có giá trị thay thế hộ chiếu nước ngoài còn hiệu lực), kèm theo: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Bản sao hợp lệ hợp đồng cung cấp dịch vụ với tổ chức làm dịch vụ thực hiện thủ tục liên quan đến đăng ký doanh nghiệp và giấy giới thiệu của tổ chức đó cho cá nhân trực tiếp thực hiện thủ tục liên quan đến đăng ký doanh nghiệp; hoặc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Văn bản ủy quyền cho cá nhân thực hiện thủ tục liên quan đến đăng ký doanh nghiệp.  	Các văn bản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Thông báo về việc đăng ký hoạt động chi nhánh, văn phòng đại diện/lập địa điểm kinh doanh (Phụ lục II-11, Thông tư số 02/2019/TT-BKHĐT);</w:t>
            </w:r>
          </w:p>
        </w:tc>
        <w:tc>
          <w:p/>
          <w:p>
            <w:pPr>
              <w:spacing w:after="0" w:before="0" w:lineRule="auto" w:line="276"/>
              <w:jc w:val="left"/>
            </w:pPr>
            <w:r>
              <w:rPr>
                <w:rFonts w:ascii="Times New Roman" w:hAnsi="Times New Roman" w:cs="Times New Roman" w:eastAsia="Times New Roman"/>
                <w:b w:val="false"/>
                <w:sz w:val="26"/>
              </w:rPr>
              <w:t>Phụ lục II-11.docx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đề nghị bổ sung, cập nhật thông tin đăng ký hoạt động đối với chi nhánh/văn phòng đại diện/địa điểm kinh doanh của doanh nghiệp hoạt động theo Giấy phép đầu tư, Giấy chứng nhận đầu tư (Phụ lục II-19, Thông tư số 02/2019/TT-BKHĐT)</w:t>
            </w:r>
          </w:p>
        </w:tc>
        <w:tc>
          <w:p/>
          <w:p>
            <w:pPr>
              <w:spacing w:after="0" w:before="0" w:lineRule="auto" w:line="276"/>
              <w:jc w:val="left"/>
            </w:pPr>
            <w:r>
              <w:rPr>
                <w:rFonts w:ascii="Times New Roman" w:hAnsi="Times New Roman" w:cs="Times New Roman" w:eastAsia="Times New Roman"/>
                <w:b w:val="false"/>
                <w:sz w:val="26"/>
              </w:rPr>
              <w:t>II-19.docx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và bản sao hợp lệ biên bản họp của Hội đồng thành viên đối với công ty trách nhiệm hữu hạn hai thành viên trở lên, của chủ sở hữu công ty hoặc Hội đồng thành viên hoặc Chủ tịch công ty đối với công ty trách nhiệm hữu hạn một thành viên, của Hội đồng quản trị đối với công ty cổ phần, của các thành viên hợp danh đối với công ty hợp danh về việc thành lập chi nhánh, văn phòng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hợp lệ quyết định bổ nhiệm người đứng đầu chi nhánh văn phòng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hợp lệ một trong các giấy tờ chứng thực cá nhân quy định tại Điều 10 Nghị định số 78/2015/NĐ-CP của người đứng đầu chi nhánh, văn phòng đại diện (cụ thể: Đối với công dân Việt Nam: Thẻ căn cước công dân hoặc Chứng minh nhân dân hoặc Hộ chiếu Việt Nam còn hiệu lực; Đối với người nước ngoài: Hộ chiếu nước ngoài hoặc giấy tờ có giá trị thay thế hộ chiếu nước ngoài còn hiệu lực).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Kế hoạch và Đầu tư, Phòng Đăng ký kinh doanh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Sở Kế hoạch và Đầu tư tại Trung tâm Phục vụ hành chính công tỉnh Thanh Hóa (Số 28 Đại lộ Lê Lợi, phường Điện Biên, thành phố Thanh Hóa) hoặc qua mạng điện tử trên Cổng thông tin quốc gia về đăng ký doanh nghiệp: https://dangkykinhdoanh.gov.vn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hoạt động chi nhánh, văn phòng đại diện; Giấy xác nhận về việc thay đổi nội dung đăng ký hoạt động chi nhánh, văn phòng đại diện.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68/2014/QH13</w:t>
            </w:r>
          </w:p>
        </w:tc>
        <w:tc>
          <w:p/>
          <w:p>
            <w:pPr>
              <w:spacing w:after="0" w:before="0" w:lineRule="auto" w:line="276"/>
              <w:jc w:val="left"/>
            </w:pPr>
            <w:r>
              <w:rPr>
                <w:rFonts w:ascii="Times New Roman" w:hAnsi="Times New Roman" w:cs="Times New Roman" w:eastAsia="Times New Roman"/>
                <w:b w:val="false"/>
                <w:sz w:val="26"/>
              </w:rPr>
              <w:t>Luật 68/2014/QH13</w:t>
            </w:r>
          </w:p>
        </w:tc>
        <w:tc>
          <w:p/>
          <w:p>
            <w:pPr>
              <w:spacing w:after="0" w:before="0" w:lineRule="auto" w:line="276"/>
              <w:jc w:val="left"/>
            </w:pPr>
            <w:r>
              <w:rPr>
                <w:rFonts w:ascii="Times New Roman" w:hAnsi="Times New Roman" w:cs="Times New Roman" w:eastAsia="Times New Roman"/>
                <w:b w:val="false"/>
                <w:sz w:val="26"/>
              </w:rPr>
              <w:t>26-11-2014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78/2015/NĐ-CP</w:t>
            </w:r>
          </w:p>
        </w:tc>
        <w:tc>
          <w:p/>
          <w:p>
            <w:pPr>
              <w:spacing w:after="0" w:before="0" w:lineRule="auto" w:line="276"/>
              <w:jc w:val="left"/>
            </w:pPr>
            <w:r>
              <w:rPr>
                <w:rFonts w:ascii="Times New Roman" w:hAnsi="Times New Roman" w:cs="Times New Roman" w:eastAsia="Times New Roman"/>
                <w:b w:val="false"/>
                <w:sz w:val="26"/>
              </w:rPr>
              <w:t>Nghị định 78/2015/NĐ-CP</w:t>
            </w:r>
          </w:p>
        </w:tc>
        <w:tc>
          <w:p/>
          <w:p>
            <w:pPr>
              <w:spacing w:after="0" w:before="0" w:lineRule="auto" w:line="276"/>
              <w:jc w:val="left"/>
            </w:pPr>
            <w:r>
              <w:rPr>
                <w:rFonts w:ascii="Times New Roman" w:hAnsi="Times New Roman" w:cs="Times New Roman" w:eastAsia="Times New Roman"/>
                <w:b w:val="false"/>
                <w:sz w:val="26"/>
              </w:rPr>
              <w:t>14-09-2015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20/2015/TT-BKHĐT</w:t>
            </w:r>
          </w:p>
        </w:tc>
        <w:tc>
          <w:p/>
          <w:p>
            <w:pPr>
              <w:spacing w:after="0" w:before="0" w:lineRule="auto" w:line="276"/>
              <w:jc w:val="left"/>
            </w:pPr>
            <w:r>
              <w:rPr>
                <w:rFonts w:ascii="Times New Roman" w:hAnsi="Times New Roman" w:cs="Times New Roman" w:eastAsia="Times New Roman"/>
                <w:b w:val="false"/>
                <w:sz w:val="26"/>
              </w:rPr>
              <w:t>Thông tư 20/2015/TT-BKHĐT</w:t>
            </w:r>
          </w:p>
        </w:tc>
        <w:tc>
          <w:p/>
          <w:p>
            <w:pPr>
              <w:spacing w:after="0" w:before="0" w:lineRule="auto" w:line="276"/>
              <w:jc w:val="left"/>
            </w:pPr>
            <w:r>
              <w:rPr>
                <w:rFonts w:ascii="Times New Roman" w:hAnsi="Times New Roman" w:cs="Times New Roman" w:eastAsia="Times New Roman"/>
                <w:b w:val="false"/>
                <w:sz w:val="26"/>
              </w:rPr>
              <w:t>01-12-2015</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02/2019/TT-BKHĐT</w:t>
            </w:r>
          </w:p>
        </w:tc>
        <w:tc>
          <w:p/>
          <w:p>
            <w:pPr>
              <w:spacing w:after="0" w:before="0" w:lineRule="auto" w:line="276"/>
              <w:jc w:val="left"/>
            </w:pPr>
            <w:r>
              <w:rPr>
                <w:rFonts w:ascii="Times New Roman" w:hAnsi="Times New Roman" w:cs="Times New Roman" w:eastAsia="Times New Roman"/>
                <w:b w:val="false"/>
                <w:sz w:val="26"/>
              </w:rPr>
              <w:t>Thông tư 02/2019/TT-BKHĐT</w:t>
            </w:r>
          </w:p>
        </w:tc>
        <w:tc>
          <w:p/>
          <w:p>
            <w:pPr>
              <w:spacing w:after="0" w:before="0" w:lineRule="auto" w:line="276"/>
              <w:jc w:val="left"/>
            </w:pPr>
            <w:r>
              <w:rPr>
                <w:rFonts w:ascii="Times New Roman" w:hAnsi="Times New Roman" w:cs="Times New Roman" w:eastAsia="Times New Roman"/>
                <w:b w:val="false"/>
                <w:sz w:val="26"/>
              </w:rPr>
              <w:t>08-01-2019</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47/2019/TT-BTC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cung cấp thông tin doanh nghiệp, lệ phí đăng ký doanh nghiệp</w:t>
            </w:r>
          </w:p>
        </w:tc>
        <w:tc>
          <w:p/>
          <w:p>
            <w:pPr>
              <w:spacing w:after="0" w:before="0" w:lineRule="auto" w:line="276"/>
              <w:jc w:val="left"/>
            </w:pPr>
            <w:r>
              <w:rPr>
                <w:rFonts w:ascii="Times New Roman" w:hAnsi="Times New Roman" w:cs="Times New Roman" w:eastAsia="Times New Roman"/>
                <w:b w:val="false"/>
                <w:sz w:val="26"/>
              </w:rPr>
              <w:t>05-08-2019</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Có hồ sơ hợp lệ (có đầy đủ giấy tờ như đã nêu tại Thành phần hồ sơ và nội dung các giấy tờ đó được kê khai đầy đủ theo quy định của pháp luật);
2. Tên chi nhánh, văn phòng đại diện được đặt đúng theo quy định tại Điều 41 Luật Doanh nghiệp, lưu ý một số quy định như: tên phải được viết bằng các chữ cái trong bảng chữ cái tiếng Việt, các chữ cái F, J, Z, W, chữ số và các ký hiệu, tên phải mang tên doanh nghiệp kèm theo cụm từ “Chi nhánh” đối với chi nhánh, cụm từ “Văn phòng đại diện” đối với văn phòng đại diện;
3. Nộp đủ lệ phí đăng ký doanh nghiệp theo quy định pháp luật về phí và lệ phí.</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hoạt động chi nhánh, văn phòng đại diện (đối với doanh nghiệp hoạt động theo Giấy phép đầu tư, Giấy chứng nhận đầu tư hoặc các giấy tờ có giá trị pháp lý tương đương)</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2026-05-13T18:20:16Z</dcterms:created>
  <dc:creator>Apache POI</dc:creator>
</cp:coreProperties>
</file>