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1.000842.000.00.00.H57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Judo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(Theo Nghị quyết số 25/2024/NQ-HĐND ngày 15 tháng 11 năm 2024 của Hội đồng nhân dân tỉnh Quy định mức thu, chế độ thu, nộp, quản lý và sử dụng phí thẩm định cấp giấy chứng nhận đủ điều kiện kinh doanh hoạt động cơ sở thể thao, câu lạc bộ thể thao chuyên nghiệp trên địa bàn tỉnh Thừa Thiên Huế)</w:t>
              <w:br/>
              <w:t>File đính kèm: 000.00.00.K57-25-2024-NQ-HDND-2024-PL1.pdf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 Nộp hồ sơ trực tiếp hoặc qua dịch vụ bưu chính công ích tại Trung tâm Phục vụ hành chính công tỉnh.
- Nộp trực tuyến trên Hệ thống thông tin giải quyết TTHC Thừa Thiên Huế (https://dichvucong.thuathienhue,gov.vn)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600.000 Đồng</w:t>
              <w:t xml:space="preserve"> (1.000.000đ/giấy chứng nhận. (Trường hợp doanh nghiệp đề nghị thực hiện các thủ tục hành chính thông qua Dịch vụ công trực tuyến thì mức thu được tính bằng 60% mức phí nêu trên))</w:t>
              <w:br/>
              <w:t>File đính kèm: 000.00.00.K57-25-2024-NQ-HDND-2024-PL1.pdf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 Nộp hồ sơ trực tiếp hoặc qua dịch vụ bưu chính công ích tại Trung tâm Phục vụ hành chính công tỉnh.
- Nộp trực tuyến trên Hệ thống thông tin giải quyết TTHC Thừa Thiên Huế (https://dichvucong.thuathienhue,gov.vn)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(Theo Nghị quyết số 25/2024/NQ-HĐND ngày 15 tháng 11 năm 2024 của Hội đồng nhân dân tỉnh Quy định mức thu, chế độ thu, nộp, quản lý và sử dụng phí thẩm định cấp giấy chứng nhận đủ điều kiện kinh doanh hoạt động cơ sở thể thao, câu lạc bộ thể thao chuyên nghiệp trên địa bàn tỉnh Thừa Thiên Huế)</w:t>
              <w:br/>
              <w:t>File đính kèm: 000.00.00.K57-25-2024-NQ-HDND-2024-PL1.pdf</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 Nộp hồ sơ trực tiếp hoặc qua dịch vụ bưu chính công ích tại Trung tâm Phục vụ hành chính công tỉnh.
- Nộp trực tuyến trên Hệ thống thông tin giải quyết TTHC Thừa Thiên Huế (https://dichvucong.thuathienhue,gov.vn) hoặc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 - Thành phố 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và Thể thao - Thành phố Huế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công ích tại Trung tâm Phục vụ hành chính công tỉnh. - Nộp trực tuyến trên Hệ thống thông tin giải quyết TTHC Thừa Thiên Huế (https://dichvucong.thuathienhue,gov.vn) hoặc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09/2018/TT-BVHTTDL </w:t>
            </w:r>
          </w:p>
        </w:tc>
        <w:tc>
          <w:p/>
          <w:p>
            <w:pPr>
              <w:spacing w:after="0" w:before="0" w:lineRule="auto" w:line="276"/>
              <w:jc w:val="left"/>
            </w:pPr>
            <w:r>
              <w:rPr>
                <w:rFonts w:ascii="Times New Roman" w:hAnsi="Times New Roman" w:cs="Times New Roman" w:eastAsia="Times New Roman"/>
                <w:b w:val="false"/>
                <w:sz w:val="26"/>
              </w:rPr>
              <w:t>Thông tư 09/2018/TT-BVHTTDL</w:t>
            </w:r>
          </w:p>
        </w:tc>
        <w:tc>
          <w:p/>
          <w:p>
            <w:pPr>
              <w:spacing w:after="0" w:before="0" w:lineRule="auto" w:line="276"/>
              <w:jc w:val="left"/>
            </w:pPr>
            <w:r>
              <w:rPr>
                <w:rFonts w:ascii="Times New Roman" w:hAnsi="Times New Roman" w:cs="Times New Roman" w:eastAsia="Times New Roman"/>
                <w:b w:val="false"/>
                <w:sz w:val="26"/>
              </w:rPr>
              <w:t>31-01-2018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09/2019/QĐ-UBND</w:t>
            </w:r>
          </w:p>
        </w:tc>
        <w:tc>
          <w:p/>
          <w:p>
            <w:pPr>
              <w:spacing w:after="0" w:before="0" w:lineRule="auto" w:line="276"/>
              <w:jc w:val="left"/>
            </w:pPr>
            <w:r>
              <w:rPr>
                <w:rFonts w:ascii="Times New Roman" w:hAnsi="Times New Roman" w:cs="Times New Roman" w:eastAsia="Times New Roman"/>
                <w:b w:val="false"/>
                <w:sz w:val="26"/>
              </w:rPr>
              <w:t>Quyết định số 09/2019/QĐ-UBND</w:t>
            </w:r>
          </w:p>
        </w:tc>
        <w:tc>
          <w:p/>
          <w:p>
            <w:pPr>
              <w:spacing w:after="0" w:before="0" w:lineRule="auto" w:line="276"/>
              <w:jc w:val="left"/>
            </w:pPr>
            <w:r>
              <w:rPr>
                <w:rFonts w:ascii="Times New Roman" w:hAnsi="Times New Roman" w:cs="Times New Roman" w:eastAsia="Times New Roman"/>
                <w:b w:val="false"/>
                <w:sz w:val="26"/>
              </w:rPr>
              <w:t>27-02-2019</w:t>
            </w:r>
          </w:p>
        </w:tc>
        <w:tc>
          <w:p/>
          <w:p>
            <w:pPr>
              <w:spacing w:after="0" w:before="0" w:lineRule="auto" w:line="276"/>
              <w:jc w:val="left"/>
            </w:pPr>
            <w:r>
              <w:rPr>
                <w:rFonts w:ascii="Times New Roman" w:hAnsi="Times New Roman" w:cs="Times New Roman" w:eastAsia="Times New Roman"/>
                <w:b w:val="false"/>
                <w:sz w:val="26"/>
              </w:rPr>
              <w:t>UBND Thành phố Huế</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01/2012/NĐ-CP, Nghị định số 61/2016/NĐ-CP và Nghị định số 36/2019/NĐ-CP</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25/2024/NQ-HĐND</w:t>
            </w:r>
          </w:p>
        </w:tc>
        <w:tc>
          <w:p/>
          <w:p>
            <w:pPr>
              <w:spacing w:after="0" w:before="0" w:lineRule="auto" w:line="276"/>
              <w:jc w:val="left"/>
            </w:pPr>
            <w:r>
              <w:rPr>
                <w:rFonts w:ascii="Times New Roman" w:hAnsi="Times New Roman" w:cs="Times New Roman" w:eastAsia="Times New Roman"/>
                <w:b w:val="false"/>
                <w:sz w:val="26"/>
              </w:rPr>
              <w:t>Nghị quyết quy định mức thu, chế độ thu, nộp, quản lý và sử dụng phí thẩm định cấp giấy chứng nhận đủ điều kiện kinh doanh hoạt động cơ sở thể thao, câu lạc bộ thể thao chuyên nghiệp trên địa bàn tỉnh Thừa Thiên Huế</w:t>
            </w:r>
          </w:p>
        </w:tc>
        <w:tc>
          <w:p/>
          <w:p>
            <w:pPr>
              <w:spacing w:after="0" w:before="0" w:lineRule="auto" w:line="276"/>
              <w:jc w:val="left"/>
            </w:pPr>
            <w:r>
              <w:rPr>
                <w:rFonts w:ascii="Times New Roman" w:hAnsi="Times New Roman" w:cs="Times New Roman" w:eastAsia="Times New Roman"/>
                <w:b w:val="false"/>
                <w:sz w:val="26"/>
              </w:rPr>
              <w:t>15-11-2024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Sàn tập có diện tích ít nhất là 64m2 (mỗi chiều ít nhất là 8m). Mặt sàn bằng phẳng, không trơn trượt và được trải thảm hoặc đệm mềm có độ đàn hồi, độ dày ít nhất 4cm.
b) Ánh sáng bảo đảm từ 200 lux trở lên.
c) Có túi sơ cứu theo quy định của Bộ Y tế.
d) Có võ phục chuyên môn Judo, bảo đảm 01 bộ/người.
e) Có sổ theo dõi võ sinh tham gia tập luyện.
(2) Cơ sở vật chất, trang thiết bị thi đấu
a) Thực hiện quy định tại các điểm a, b, c, d và đ mục (1) nêu trên.
b) Có các khu vực: Cân vận động viên, khởi động, khu điểm danh, khu kiểm tra võ phục và đặt bàn y tế.
c) Có đồng hồ bấm giờ, còi báo hiệu, loa thông báo, bảng điểm, cân trọng lượng.
(3) Mật độ tập luyện
a) Mật độ tập luyện trên sàn bảo đảm ít nhất 03m2/01người.
b) Mỗi người hướng dẫn tập luyện hướng dẫn không quá 30 võ sinh trong một 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2026-05-14T15:21:21Z</dcterms:created>
  <dc:creator>Apache POI</dc:creator>
</cp:coreProperties>
</file>