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1.007689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thuế đối với cá nhân cho thuê bất động sản trực tiếp khai thuế với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cho thuê bất động sản trực tiếp khai thuế với cơ quan thuế (áp dụng đối với cá nhân có hoạt động cho thuê bất động sản trừ hoạt động kinh doanh lưu trú trực tiếp khai thuế với cơ quan thuế) theo mẫu số 01/BĐS và Phụ lục bảng kê chi tiết bất động sản mẫu số 01/BK-BĐS ban hành kèm theo Thông tư số 18/2026/TT-BTC.</w:t>
      </w:r>
    </w:p>
    <w:p>
      <w:pPr>
        <w:spacing w:after="0" w:before="0" w:lineRule="auto" w:line="276"/>
        <w:jc w:val="both"/>
      </w:pPr>
      <w:r>
        <w:rPr>
          <w:rFonts w:ascii="Times New Roman" w:hAnsi="Times New Roman" w:cs="Times New Roman" w:eastAsia="Times New Roman"/>
          <w:b w:val="false"/>
          <w:sz w:val="26"/>
        </w:rPr>
        <w:t>+ Bước 2. Cơ quan thuế tiếp nhận hồ sơ của người nộp thuế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phục vụ hành chính công cấp tỉnh, xã; hoặc gửi hồ sơ qua dịch vụ bưu chính công ích theo quy định của Thủ tướng Chính phủ, qua thuê dịch vụ của doanh nghiệp, cá nhân hoặc qua ủy quyền theo quy định của pháp luật đến Trung tâm Phục vụ hành chính công cấp tỉnh, xã đối với trường hợp người nộp thuế thuộc đối tượng có hoàn cảnh đặc biệt, bao gồm người cao tuổi, người khuyết tật, người thuộc diện bảo trợ xã hội, người cư trú tại địa bàn có điều kiện kinh tế - xã hội đặc biệt khó khăn hoặc thuộc trường hợp bất khả kháng khác, không thể thực hiện giao dịch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Cổng dịch vụ công Quốc gia hoặc Ứng dụng định danh quốc gia theo quy định về thực hiện cơ chế một cửa, một cửa liên thông trong giải quyết thủ tục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Trung tâm phục vụ hành chính công cấp tỉnh, xã; hoặc gửi hồ sơ qua dịch vụ bưu chính công ích theo quy định của Thủ tướng Chính phủ, qua thuê dịch vụ của doanh nghiệp, cá nhân hoặc qua ủy quyền theo quy định của pháp luật đến Trung tâm Phục vụ hành chính công cấp tỉnh, xã đối với trường hợp người nộp thuế thuộc đối tượng có hoàn cảnh đặc biệt, bao gồm người cao tuổi, người khuyết tật, người thuộc diện bảo trợ xã hội, người cư trú tại địa bàn có điều kiện kinh tế - xã hội đặc biệt khó khăn hoặc thuộc trường hợp bất khả kháng khác, không thể thực hiện giao dịch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thuế đối với hoạt động cho thuê bất động sản theo mẫu số 01/BĐS</w:t>
            </w:r>
          </w:p>
        </w:tc>
        <w:tc>
          <w:p/>
          <w:p>
            <w:pPr>
              <w:spacing w:after="0" w:before="0" w:lineRule="auto" w:line="276"/>
              <w:jc w:val="left"/>
            </w:pPr>
            <w:r>
              <w:rPr>
                <w:rFonts w:ascii="Times New Roman" w:hAnsi="Times New Roman" w:cs="Times New Roman" w:eastAsia="Times New Roman"/>
                <w:b w:val="false"/>
                <w:sz w:val="26"/>
              </w:rPr>
              <w:t>Mu01BS.docx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Phụ lục bảng kê chi tiết bất động sản mẫu số 01/BK-BĐS ban hành kèm theo Thông tư số 18/2026/TT-BTC</w:t>
            </w:r>
          </w:p>
        </w:tc>
        <w:tc>
          <w:p/>
          <w:p>
            <w:pPr>
              <w:spacing w:after="0" w:before="0" w:lineRule="auto" w:line="276"/>
              <w:jc w:val="left"/>
            </w:pPr>
            <w:r>
              <w:rPr>
                <w:rFonts w:ascii="Times New Roman" w:hAnsi="Times New Roman" w:cs="Times New Roman" w:eastAsia="Times New Roman"/>
                <w:b w:val="false"/>
                <w:sz w:val="26"/>
              </w:rPr>
              <w:t>Mu01BK-BS.docx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số 108/2025/QH15</w:t>
            </w:r>
          </w:p>
        </w:tc>
        <w:tc>
          <w:p/>
          <w:p>
            <w:pPr>
              <w:spacing w:after="0" w:before="0" w:lineRule="auto" w:line="276"/>
              <w:jc w:val="left"/>
            </w:pPr>
            <w:r>
              <w:rPr>
                <w:rFonts w:ascii="Times New Roman" w:hAnsi="Times New Roman" w:cs="Times New Roman" w:eastAsia="Times New Roman"/>
                <w:b w:val="false"/>
                <w:sz w:val="26"/>
              </w:rPr>
              <w:t>Luật Quản lý thuế</w:t>
            </w:r>
          </w:p>
        </w:tc>
        <w:tc>
          <w:p/>
          <w:p>
            <w:pPr>
              <w:spacing w:after="0" w:before="0" w:lineRule="auto" w:line="276"/>
              <w:jc w:val="left"/>
            </w:pPr>
            <w:r>
              <w:rPr>
                <w:rFonts w:ascii="Times New Roman" w:hAnsi="Times New Roman" w:cs="Times New Roman" w:eastAsia="Times New Roman"/>
                <w:b w:val="false"/>
                <w:sz w:val="26"/>
              </w:rPr>
              <w:t>10-12-2025</w:t>
            </w:r>
          </w:p>
        </w:tc>
        <w:tc>
          <w:p/>
        </w:tc>
      </w:tr>
      <w:tr>
        <w:tc>
          <w:p/>
          <w:p>
            <w:pPr>
              <w:spacing w:after="0" w:before="0" w:lineRule="auto" w:line="276"/>
              <w:jc w:val="left"/>
            </w:pPr>
            <w:r>
              <w:rPr>
                <w:rFonts w:ascii="Times New Roman" w:hAnsi="Times New Roman" w:cs="Times New Roman" w:eastAsia="Times New Roman"/>
                <w:b w:val="false"/>
                <w:sz w:val="26"/>
              </w:rPr>
              <w:t>Nghị định số 68/2026/NĐ-CP của Chính phủ</w:t>
            </w:r>
          </w:p>
        </w:tc>
        <w:tc>
          <w:p/>
          <w:p>
            <w:pPr>
              <w:spacing w:after="0" w:before="0" w:lineRule="auto" w:line="276"/>
              <w:jc w:val="left"/>
            </w:pPr>
            <w:r>
              <w:rPr>
                <w:rFonts w:ascii="Times New Roman" w:hAnsi="Times New Roman" w:cs="Times New Roman" w:eastAsia="Times New Roman"/>
                <w:b w:val="false"/>
                <w:sz w:val="26"/>
              </w:rPr>
              <w:t>Quy định về chính sách thuế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05-03-2026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Thông tư số 18/2026/TT-BTC của Bộ Tài chính</w:t>
            </w:r>
          </w:p>
        </w:tc>
        <w:tc>
          <w:p/>
          <w:p>
            <w:pPr>
              <w:spacing w:after="0" w:before="0" w:lineRule="auto" w:line="276"/>
              <w:jc w:val="left"/>
            </w:pPr>
            <w:r>
              <w:rPr>
                <w:rFonts w:ascii="Times New Roman" w:hAnsi="Times New Roman" w:cs="Times New Roman" w:eastAsia="Times New Roman"/>
                <w:b w:val="false"/>
                <w:sz w:val="26"/>
              </w:rPr>
              <w:t>Quy định về hồ sơ, thủ tục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05-03-2026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2026-05-21T16:39:28Z</dcterms:created>
  <dc:creator>Apache POI</dc:creator>
</cp:coreProperties>
</file>