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1.007746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tục thuê kho bên ngoài doanh nghiệp chế xuất để lưu giữ nguyên liệu, sản phẩm của doanh nghiệp chế xuất, quản lý hải quan đối với hàng hóa đưa vào, đưa ra kho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Trách nhiệm của DNCX:</w:t>
      </w:r>
    </w:p>
    <w:p>
      <w:pPr>
        <w:spacing w:after="0" w:before="0" w:lineRule="auto" w:line="276"/>
        <w:jc w:val="both"/>
      </w:pPr>
      <w:r>
        <w:rPr>
          <w:rFonts w:ascii="Times New Roman" w:hAnsi="Times New Roman" w:cs="Times New Roman" w:eastAsia="Times New Roman"/>
          <w:b w:val="false"/>
          <w:sz w:val="26"/>
        </w:rPr>
        <w:t>a.1) DNCX có văn bản đề nghị được thuê kho lưu giữ hàng hóa ngoài khu công nghiệp, khu kinh tế để lưu giữ hàng hóa gửi Chi cục hải quan khu vực quản lý địa bàn nơi có cơ sở sản xuất của DNCX trong đó nêu rõ quy mô, công suất lưu giữ hàng hóa tại các cơ sở sản xuất chính DNCX; dự kiến kế hoạch sản xuất, kinh doanh hoặc lý do khác dẫn đến phải thuê địa điểm bên ngoài để lưu giữ hàng hóa; địa điểm, vị trí, diện tích, thời gian thuê; điều kiện kiểm tra, giám sát hải quan tại địa điểm thuê; quy trình quản lý giám sát hàng hóa đưa vào, đưa ra địa điểm thuê kho. Đồng thời gửi kèm sơ đồ thiết kế khu vực kho, bãi thể hiện rõ đường ranh giới ngăn cách với khu vực bên ngoài, vị trí các kho hàng; tài liệu mô tả, sơ đồ vị trí lắp đặt hệ thống camera giám sát tại địa điểm lưu giữ.
Trong văn bản đề nghị nêu rõ số, ngày hợp đồng thuê địa điểm lưu giữ; số, ngày cấp Giấy chứng nhận đăng ký đầu tư hoặc chứng từ tương đương của DNCX và doanh nghiệp cho thuê địa điểm lưu giữ; số, ngày của chứng từ chứng minh quyền sở hữu hoặc sử dụng địa điểm lưu giữ; số, ngày cấp Giấy chứng nhận về phòng cháy, chữa cháy tại địa điểm lưu giữ. Khi cơ quan hải quan kiểm tra điều kiện kiểm tra, giám sát hải quan thì tổ chức, cá nhân xuất trình các chứng từ trên để cơ quan hải quan kiểm tra;
a.2) DNCX chỉ được đưa hàng hóa đến kho lưu giữ hàng hóa ngoài khu công nghiệp, khu kinh tế để lưu giữ sau khi được cơ quan hải quan có thẩm quyền có văn bản xác nhận kho lưu giữ hàng hóa ngoài khu công nghiệp, khu kinh tế của DNCX đáp ứng điều kiện kiểm tra, giám sát hải quan;
a.3) Đảm bảo chỉ lưu giữ hàng hóa tại địa điểm lưu giữ đã thuê, không được tổ chức sản xuất tại địa điểm này;
a.4) Cập nhật thông tin kho lưu giữ hàng hóa ngoài khu công nghiệp, khu kinh tế đã được cơ quan hải quan chấp thuận trong thông báo cơ sở sản xuất trên Hệ thống hải quan;
a.5) Chịu trách nhiệm quản lý, theo dõi hàng hóa đưa vào, đưa ra kho lưu giữ hàng hóa ngoài khu công nghiệp, khu kinh tế theo quy định pháp luật về chế độ kế toán của Bộ Tài chính; khi vận chuyển hàng hóa của DNCX đến kho lưu giữ hàng hóa ngoài khu công nghiệp, khu kinh tế và ngược lại phải có đầy đủ các chứng từ theo quy định;
a.6) Cung cấp hình ảnh ca-me-ra giám sát cho cơ quan hải quan khi có yêu cầu; lưu giữ chứng từ, sổ kế toán, số liệu hàng hóa đưa vào, đưa ra địa điểm thuê theo quy định của pháp luật; phối hợp với cơ quan hải quan khi thực hiện kiểm tra, xác định dấu hiệu nghi vấn về hàng hóa gửi tại kho.</w:t>
      </w:r>
    </w:p>
    <w:p>
      <w:pPr>
        <w:shd w:val="clear" w:color="auto" w:fill="F2F6F9"/>
        <w:spacing w:after="0" w:before="120" w:lineRule="auto" w:line="276"/>
        <w:jc w:val="both"/>
      </w:pPr>
      <w:r>
        <w:rPr>
          <w:rFonts w:ascii="Times New Roman" w:hAnsi="Times New Roman" w:cs="Times New Roman" w:eastAsia="Times New Roman"/>
          <w:b w:val="true"/>
          <w:sz w:val="26"/>
        </w:rPr>
        <w:t>b. Trách nhiệm của Chi cục Hải quan khu vực quản lý địa bàn nơi có cơ sở sản xuất của DNCX:</w:t>
      </w:r>
    </w:p>
    <w:p>
      <w:pPr>
        <w:spacing w:after="0" w:before="0" w:lineRule="auto" w:line="276"/>
        <w:jc w:val="both"/>
      </w:pPr>
      <w:r>
        <w:rPr>
          <w:rFonts w:ascii="Times New Roman" w:hAnsi="Times New Roman" w:cs="Times New Roman" w:eastAsia="Times New Roman"/>
          <w:b w:val="false"/>
          <w:sz w:val="26"/>
        </w:rPr>
        <w:t>Chậm nhất 05 ngày làm việc kể từ ngày nhận được văn bản đề nghị thuê kho lưu giữ hàng hóa ngoài khu công nghiệp, khu kinh tế của DNCX, Chi cục Hải quan khu vực quản lý địa bàn nơi có cơ sở sản xuất của DNCX căn cứ đề nghị của DNCX thực hiện:
b.1) Kiểm tra hiện trạng tại kho lưu giữ hàng hóa ngoài khu công nghiệp, khu kinh tế của DNCX, đối chiếu điều kiện kiểm tra, giám sát tại khoản 2 Điều này để đánh giá hiện trạng. Kiểm tra đối chiếu các chứng từ DNCX ghi trong văn bản đề nghị với các chứng từ do DNCX xuất trình.
Trường hợp kho lưu giữ hàng hóa ngoài khu công nghiệp, khu kinh tế đề nghị thuê của DNCX thuộc địa bàn quản lý của Chi cục Hải quan khu vực khác, Chi cục Hải quan khu vực quản lý địa bàn nơi có cơ sở sản xuất của DNCX phối hợp với Chi cục Hải quan khu vực quản lý địa bàn nơi có kho lưu giữ hàng hóa ngoài khu công nghiệp, khu kinh tế của DNCX đề nghị thuê kiểm tra hiện trạng. Trường hợp không đủ nguồn lực để thực hiện kiểm tra hiện trạng tại kho lưu giữ hàng hóa ngoài khu công nghiệp, khu kinh tế của DNCX đề nghị thuê, Chi cục Hải quan khu vực quản lý địa bàn nơi có cơ sở sản xuất của DNCX đề nghị Chi cục Hải quan khu vực quản lý địa bàn nơi có địa điểm đề nghị thuê kiểm tra hiện trạng tại kho lưu giữ hàng hóa ngoài khu công nghiệp, khu kinh tế của DNCX; 
b.2) Kết thúc kiểm tra, cơ quan hải quan, DNCX ký Biên bản ghi nhận nội dung kiểm tra. Trường hợp khác địa bàn quản lý, Chi cục Hải quan khu vực quản lý địa bàn nơi có địa điểm đề nghị thuê gửi Biên bản kiểm tra cho Chi cục Hải quan khu vực quản lý địa bàn có cơ sở sản xuất của DNCX;
b.3) Chậm nhất 03 ngày làm việc kể từ ngày kết thúc kiểm tra hoặc ngày nhận được báo cáo kết quả kiểm tra của Chi cục Hải quan khu vực nơi quản lý địa điểm lưu giữ bên ngoài DNCX, Chi cục Hải quan khu vực quản lý địa bàn có cơ sở sản xuất của DNCX căn cứ kết quả kiểm tra để xem xét, quyết định.
 Trường hợp đáp ứng điều kiện kiểm tra, giám sát hải quan thì cơ quan hải quan có văn bản thông báo cho DNCX về việc chấp thuận DNCX được thuê kho lưu giữ hàng hóa ngoài khu công nghiệp, khu kinh tế để lưu giữ hàng hóa. 
Trường hợp kho lưu giữ hàng hóa ngoài khu công nghiệp, khu kinh tế không đáp ứng điều kiện kiểm tra, giám sát hải quan thì cơ quan hải quan có văn bản thông báo và nêu rõ lý do gửi DNCX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Chậm nhất 05 ngày làm việc kể từ ngày nhận được văn bản đề nghị thuê kho lưu giữ hàng hóa ngoài khu công nghiệp, khu kinh tế của DNCX, Chi cục Hải quan khu vực quản lý địa bàn nơi có cơ sở sản xuất của DNCX căn cứ đề nghị của DNCX thực hiện kiểm tra hiện trạng tại kho lưu giữ hàng hóa ngoài khu công nghiệp, khu kinh tế của DNCX, đối chiếu điều kiện kiểm tra, giám sát để đánh giá hiện trạng. Kiểm tra đối chiếu các chứng từ DNCX ghi trong văn bản đề nghị với các chứng từ do DNCX xuất trình.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Chậm nhất 03 ngày làm việc kể từ ngày kết thúc kiểm tra hoặc ngày nhận được báo cáo kết quả kiểm tra của Chi cục Hải quan khu vực nơi quản lý địa điểm lưu giữ bên ngoài DNCX, Chi cục Hải quan khu vực quản lý địa bàn có cơ sở sản xuất của DNCX căn cứ kết quả kiểm tra để xem xét, quyết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Gửi văn bản tới Chi cục Hải quan quản lý DNCX</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nhập - xuất - tồn kho hàng hóa theo mẫu số 22b Phụ lục II ban hành kèm Thông tư số 38/2015/TT-BTC được bổ sung bởi Phụ lục I Thông tư số 121/2025/TT-BTC hoặc theo mẫu số 19/NXTK-DNCX/GSQL Phụ lục V ban hành kèm Thông tư số 38/2015/TT-BTC được bổ sung bởi Phụ lục II Thông tư số 39/2018/TT-BTC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được phép thuê kho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08/2015/NĐ-CP</w:t>
            </w:r>
          </w:p>
        </w:tc>
        <w:tc>
          <w:p/>
          <w:p>
            <w:pPr>
              <w:spacing w:after="0" w:before="0" w:lineRule="auto" w:line="276"/>
              <w:jc w:val="left"/>
            </w:pPr>
            <w:r>
              <w:rPr>
                <w:rFonts w:ascii="Times New Roman" w:hAnsi="Times New Roman" w:cs="Times New Roman" w:eastAsia="Times New Roman"/>
                <w:b w:val="false"/>
                <w:sz w:val="26"/>
              </w:rPr>
              <w:t>Nghị định 08/2015/NĐ-CP</w:t>
            </w:r>
          </w:p>
        </w:tc>
        <w:tc>
          <w:p/>
          <w:p>
            <w:pPr>
              <w:spacing w:after="0" w:before="0" w:lineRule="auto" w:line="276"/>
              <w:jc w:val="left"/>
            </w:pPr>
            <w:r>
              <w:rPr>
                <w:rFonts w:ascii="Times New Roman" w:hAnsi="Times New Roman" w:cs="Times New Roman" w:eastAsia="Times New Roman"/>
                <w:b w:val="false"/>
                <w:sz w:val="26"/>
              </w:rPr>
              <w:t>21-01-2015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38/2015/TT-BTC</w:t>
            </w:r>
          </w:p>
        </w:tc>
        <w:tc>
          <w:p/>
          <w:p>
            <w:pPr>
              <w:spacing w:after="0" w:before="0" w:lineRule="auto" w:line="276"/>
              <w:jc w:val="left"/>
            </w:pPr>
            <w:r>
              <w:rPr>
                <w:rFonts w:ascii="Times New Roman" w:hAnsi="Times New Roman" w:cs="Times New Roman" w:eastAsia="Times New Roman"/>
                <w:b w:val="false"/>
                <w:sz w:val="26"/>
              </w:rPr>
              <w:t>Thông tư 38/2015/TT-BTC</w:t>
            </w:r>
          </w:p>
        </w:tc>
        <w:tc>
          <w:p/>
          <w:p>
            <w:pPr>
              <w:spacing w:after="0" w:before="0" w:lineRule="auto" w:line="276"/>
              <w:jc w:val="left"/>
            </w:pPr>
            <w:r>
              <w:rPr>
                <w:rFonts w:ascii="Times New Roman" w:hAnsi="Times New Roman" w:cs="Times New Roman" w:eastAsia="Times New Roman"/>
                <w:b w:val="false"/>
                <w:sz w:val="26"/>
              </w:rPr>
              <w:t>25-03-2015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39/2018/TT-BTC</w:t>
            </w:r>
          </w:p>
        </w:tc>
        <w:tc>
          <w:p/>
          <w:p>
            <w:pPr>
              <w:spacing w:after="0" w:before="0" w:lineRule="auto" w:line="276"/>
              <w:jc w:val="left"/>
            </w:pPr>
            <w:r>
              <w:rPr>
                <w:rFonts w:ascii="Times New Roman" w:hAnsi="Times New Roman" w:cs="Times New Roman" w:eastAsia="Times New Roman"/>
                <w:b w:val="false"/>
                <w:sz w:val="26"/>
              </w:rPr>
              <w:t>Thông tư 39/2018/TT-BTC</w:t>
            </w:r>
          </w:p>
        </w:tc>
        <w:tc>
          <w:p/>
          <w:p>
            <w:pPr>
              <w:spacing w:after="0" w:before="0" w:lineRule="auto" w:line="276"/>
              <w:jc w:val="left"/>
            </w:pPr>
            <w:r>
              <w:rPr>
                <w:rFonts w:ascii="Times New Roman" w:hAnsi="Times New Roman" w:cs="Times New Roman" w:eastAsia="Times New Roman"/>
                <w:b w:val="false"/>
                <w:sz w:val="26"/>
              </w:rPr>
              <w:t>20-04-2018</w:t>
            </w:r>
          </w:p>
        </w:tc>
        <w:tc>
          <w:p/>
        </w:tc>
      </w:tr>
      <w:tr>
        <w:tc>
          <w:p/>
          <w:p>
            <w:pPr>
              <w:spacing w:after="0" w:before="0" w:lineRule="auto" w:line="276"/>
              <w:jc w:val="left"/>
            </w:pPr>
            <w:r>
              <w:rPr>
                <w:rFonts w:ascii="Times New Roman" w:hAnsi="Times New Roman" w:cs="Times New Roman" w:eastAsia="Times New Roman"/>
                <w:b w:val="false"/>
                <w:sz w:val="26"/>
              </w:rPr>
              <w:t>121/2025/TT-BTC</w:t>
            </w:r>
          </w:p>
        </w:tc>
        <w:tc>
          <w:p/>
          <w:p>
            <w:pPr>
              <w:spacing w:after="0" w:before="0" w:lineRule="auto" w:line="276"/>
              <w:jc w:val="left"/>
            </w:pPr>
            <w:r>
              <w:rPr>
                <w:rFonts w:ascii="Times New Roman" w:hAnsi="Times New Roman" w:cs="Times New Roman" w:eastAsia="Times New Roman"/>
                <w:b w:val="false"/>
                <w:sz w:val="26"/>
              </w:rPr>
              <w:t>Thông tư số 121/2025/TT-BTC sửa đổi, bổ sung một số điều của các Thông tư quy định về thủ tục hải quan, kiểm tra, giám sát hải quan, thuế xuất khẩu, thuế nhập khẩu và quản lý thuế đối với hàng hoá xuất khẩu, nhập khẩu</w:t>
            </w:r>
          </w:p>
        </w:tc>
        <w:tc>
          <w:p/>
          <w:p>
            <w:pPr>
              <w:spacing w:after="0" w:before="0" w:lineRule="auto" w:line="276"/>
              <w:jc w:val="left"/>
            </w:pPr>
            <w:r>
              <w:rPr>
                <w:rFonts w:ascii="Times New Roman" w:hAnsi="Times New Roman" w:cs="Times New Roman" w:eastAsia="Times New Roman"/>
                <w:b w:val="false"/>
                <w:sz w:val="26"/>
              </w:rPr>
              <w:t>18-12-2025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DNCX được thuê kho lưu giữ hàng hóa ngoài khu công nghiệp, khu kinh tế
- Trong thời gian 12 tháng tính đến thời điểm có văn bản đề nghị thuê kho bên ngoài khu công nghiệp, khu kinh tế, doanh nghiệp không bị xử lý vi phạm hành chính bằng hình thức phạt tiền với mức phạt không vượt quá thẩm quyền xử phạt của Đội trưởng Hải quan;
- DNCX có quy mô sản xuất dự kiến vượt quá năng lực lưu giữ hàng hóa tại các cơ sở sản xuất chính DNCX và tại các cơ sở sản xuất này không còn khả năng mở rộng quy mô, năng lực lưu giữ hàng hóa hoặc lý do khác dẫn đến việc phải thuê kho lưu giữ hàng hóa ngoài khu công nghiệp, khu kinh tế để lưu giữ hàng hóa.
* Điều kiện về kho:
+ Có hàng rào cứng bao quanh, ngăn cách với khu vực bên ngoài. Trường hợp DNCX thuê một phần diện tích để lưu giữ thì vị trí lưu giữ hàng hóa của DNCX phải có vách ngăn hoặc hàng rào đảm bảo tách biệt, ngăn cách hàng hóa của DNCX với các loại hàng hóa khác tại kho lưu giữ
+ Có camera giám sát liên tục tại cửa hoặc cổng ra, vào và vị trí lưu giữ hàng hóa ở tất cả các thời điểm trong ngày (24/24 giờ, bao gồm cả ngày nghỉ, ngày lễ); dữ liệu về hình ảnh ca-me-ra được kết nối trực tuyến với cơ quan hải quan quản lý DNCX và được lưu giữ tại DNCX hoặc doanh nghiệp cho thuê kho lưu giữ tối thiểu 12 tháng;
+ Có phần mềm quản lý hàng hóa ra, vào địa điểm lưu giữ đảm bảo báo cáo nhập - xuất - tồn kho với cơ quan hải quan.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Mẫu đơn, Tờ khai: 
Mẫu đơn, Tờ khai:
- Văn bản gửi Chi cục hải quan khu vực quản lý địa bàn nơi có cơ sở sản xuất của DNCX.
- Mẫu số 22b Phụ lục II ban hành kèm Thông tư số 38/2015/TT-BTC được bổ sung bởi Phụ lục I Thông tư số 121/2025/TT-BTC; mẫu số 19/NXTK-DNCX/GSQL Phụ lục V ban hành kèm Thông tư số 38/2015/TT-BTC được bổ sung bởi Phụ lục II Thông tư số 39/2018/TT-BTC.</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2026-05-19T11:45:14Z</dcterms:created>
  <dc:creator>Apache POI</dc:creator>
</cp:coreProperties>
</file>