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hàng hóa là tài sản di chuyển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nộp, xuất trình các giấy tờ liên quan đến hàng hóa là tài sản di chuyển (tuy từng đối tượng mà hồ sơ nộp, xuất trình như quy định dưới dây)</w:t>
      </w:r>
    </w:p>
    <w:p>
      <w:pPr>
        <w:spacing w:after="0" w:before="0" w:lineRule="auto" w:line="276"/>
        <w:jc w:val="both"/>
      </w:pPr>
      <w:r>
        <w:rPr>
          <w:rFonts w:ascii="Times New Roman" w:hAnsi="Times New Roman" w:cs="Times New Roman" w:eastAsia="Times New Roman"/>
          <w:b w:val="false"/>
          <w:sz w:val="26"/>
        </w:rPr>
        <w:t>+ Bước 2: Cơ quan hải quan tiếp nhận hồ sơ; kiểm tra hồ sơ, kiểm tra thực tế (nếu có), tính và thu thuế (nếu có); xác nhận thông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t>Phí : 20.000 Đồng</w:t>
              <w:t xml:space="preserve"> (20.000 vnđ/tờ khai)</w:t>
            </w:r>
          </w:p>
        </w:tc>
        <w:tc>
          <w:p/>
          <w:p>
            <w:pPr>
              <w:spacing w:after="0" w:before="0" w:lineRule="auto" w:line="276"/>
              <w:jc w:val="left"/>
            </w:pPr>
            <w:r>
              <w:rPr>
                <w:rFonts w:ascii="Times New Roman" w:hAnsi="Times New Roman" w:cs="Times New Roman" w:eastAsia="Times New Roman"/>
                <w:b w:val="false"/>
                <w:sz w:val="26"/>
              </w:rPr>
              <w:t>	+ Thời hạn tiếp nhận, đăng ký, kiểm tra hồ sơ hải quan: ngay sau khi người khai hải quan nộp, xuất trình hồ sơ hải quan đúng quy định của pháp luật (Khoản 1, Điều 23 Luật Hải quan)
+ Thời hạn hoàn thành thành kiểm tra hồ sơ và kiểm tra thực tế hàng hóa, phương tiện vận tải:
++ Hoàn thành việc kiểm tra hồ sơ chậm nhất là 02 giờ làm việc kể từ thời điểm cơ quan hải quan tiếp nhận đầy đủ hồ sơ hải quan;
++ Hoàn thành việc kiểm tra thực tế hàng hoá chậm nhất là 08 giờ làm việc kể từ thời điểm người khai hải quan xuất trình đầy đủ hàng hoá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t>Phí : 20.000 Đồng</w:t>
              <w:t xml:space="preserve"> (20.000 vnđ/tờ khai)</w:t>
            </w:r>
          </w:p>
        </w:tc>
        <w:tc>
          <w:p/>
          <w:p>
            <w:pPr>
              <w:spacing w:after="0" w:before="0" w:lineRule="auto" w:line="276"/>
              <w:jc w:val="left"/>
            </w:pPr>
            <w:r>
              <w:rPr>
                <w:rFonts w:ascii="Times New Roman" w:hAnsi="Times New Roman" w:cs="Times New Roman" w:eastAsia="Times New Roman"/>
                <w:b w:val="false"/>
                <w:sz w:val="26"/>
              </w:rPr>
              <w:t>+ Thời hạn tiếp nhận, đăng ký, kiểm tra hồ sơ hải quan: ngay sau khi người khai hải quan nộp, xuất trình hồ sơ hải quan đúng quy định của pháp luật (Khoản 1, Điều 23 Luật Hải quan)
+ Thời hạn hoàn thành thành kiểm tra hồ sơ và kiểm tra thực tế hàng hóa, phương tiện vận tải:
++ Hoàn thành việc kiểm tra hồ sơ chậm nhất là 02 giờ làm việc kể từ thời điểm cơ quan hải quan tiếp nhận đầy đủ hồ sơ hải quan;
++ Hoàn thành việc kiểm tra thực tế hàng hoá chậm nhất là 08 giờ làm việc kể từ thời điểm người khai hải quan xuất trình đầy đủ hàng hoá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Người nước ngoài đưa tài sản di chuyển vào Việt Nam, khi làm thủ tục hải quan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02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xác nhận đến công tác, làm việc tại Việt Nam của cơ quan, tổ chức nơi người nước ngoài làm việc hoặc giấy phép làm việc tại Việt Nam do cơ quan có thẩm quyền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Chứng từ vận tải trong trường hợp tài sản vận chuyển bằng đường biển, đường hàng không, đường sắt: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Người nước ngoài chuyển tài sản di chuyển ra khỏi Việt Nam, khi làm thủ tục hải quan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02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chứng minh hết thời gian làm việc: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Tờ khai hải quan nhập khẩu có xác nhận của cơ quan hải quan đối với tài sản di chuyển là xe ô tô, xe gắn máy hoặc chứng từ thay đổi mục đích sử dụng và chứng từ nộp thuế đối vớihàng hóa thuộc diện phải nộp thuế: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Tổ chức, công dân Việt Nam đưa tài sản di chuyển về nước, khi làm thủ tục hải quan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02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chứng minh việc hết thời hạn kinh doanh, làm việc ở nước ngoài hoặc trở về Việt Nam cư trú: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Chứng từ vận tải trong trường hợp tài sản vận chuyển bằng đường biển, đường hàng không, đường sắt: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Tổ chức, công dân Việt Nam đưa tài sản di chuyển ra nước ngoài, khi làm thủ tục hải quan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02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chứng minh công tác, làm việc hoặc cưtrú tại nước ngoài: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5. Thủ tướng Chính phủ ban hành danh mục hàng hóa là tài sản di chuyển thuộc danh mục hàng hóa cấm nhập khẩu, hàng hóa thuộc danh mục hạn chế nhập khẩu, nhập khẩu có điều kiện được mang vào Việt Nam tùy từng thời kỳ và định mức hàng hóa là tài sản di chuyển miễn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quan trên hệ thống, Thông quan hàng hóa nhập khẩu,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21/2012/QH13</w:t>
            </w:r>
          </w:p>
        </w:tc>
        <w:tc>
          <w:p/>
          <w:p>
            <w:pPr>
              <w:spacing w:after="0" w:before="0" w:lineRule="auto" w:line="276"/>
              <w:jc w:val="left"/>
            </w:pPr>
            <w:r>
              <w:rPr>
                <w:rFonts w:ascii="Times New Roman" w:hAnsi="Times New Roman" w:cs="Times New Roman" w:eastAsia="Times New Roman"/>
                <w:b w:val="false"/>
                <w:sz w:val="26"/>
              </w:rPr>
              <w:t>Luật 21/2012/QH13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01-07-2007</w:t>
            </w:r>
          </w:p>
        </w:tc>
        <w:tc>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187/2013/NĐ-CP</w:t>
            </w:r>
          </w:p>
        </w:tc>
        <w:tc>
          <w:p/>
          <w:p>
            <w:pPr>
              <w:spacing w:after="0" w:before="0" w:lineRule="auto" w:line="276"/>
              <w:jc w:val="left"/>
            </w:pPr>
            <w:r>
              <w:rPr>
                <w:rFonts w:ascii="Times New Roman" w:hAnsi="Times New Roman" w:cs="Times New Roman" w:eastAsia="Times New Roman"/>
                <w:b w:val="false"/>
                <w:sz w:val="26"/>
              </w:rPr>
              <w:t>Quy định chi tiết thi hành Luật Thương mại về hoạt động mua bán hàng hóa quốc tế và các hoạt động đại lý mua, bán, gia công và quá cảnh hàng hóa với nước ngoài</w:t>
            </w:r>
          </w:p>
        </w:tc>
        <w:tc>
          <w:p/>
          <w:p>
            <w:pPr>
              <w:spacing w:after="0" w:before="0" w:lineRule="auto" w:line="276"/>
              <w:jc w:val="left"/>
            </w:pPr>
            <w:r>
              <w:rPr>
                <w:rFonts w:ascii="Times New Roman" w:hAnsi="Times New Roman" w:cs="Times New Roman" w:eastAsia="Times New Roman"/>
                <w:b w:val="false"/>
                <w:sz w:val="26"/>
              </w:rPr>
              <w:t>20-11-2013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29-11-2006</w:t>
            </w:r>
          </w:p>
        </w:tc>
        <w:tc>
          <w:p/>
        </w:tc>
      </w:tr>
      <w:tr>
        <w:tc>
          <w:p/>
          <w:p>
            <w:pPr>
              <w:spacing w:after="0" w:before="0" w:lineRule="auto" w:line="276"/>
              <w:jc w:val="left"/>
            </w:pPr>
            <w:r>
              <w:rPr>
                <w:rFonts w:ascii="Times New Roman" w:hAnsi="Times New Roman" w:cs="Times New Roman" w:eastAsia="Times New Roman"/>
                <w:b w:val="false"/>
                <w:sz w:val="26"/>
              </w:rPr>
              <w:t>87/2010/NĐ-CP</w:t>
            </w:r>
          </w:p>
        </w:tc>
        <w:tc>
          <w:p/>
          <w:p>
            <w:pPr>
              <w:spacing w:after="0" w:before="0" w:lineRule="auto" w:line="276"/>
              <w:jc w:val="left"/>
            </w:pPr>
            <w:r>
              <w:rPr>
                <w:rFonts w:ascii="Times New Roman" w:hAnsi="Times New Roman" w:cs="Times New Roman" w:eastAsia="Times New Roman"/>
                <w:b w:val="false"/>
                <w:sz w:val="26"/>
              </w:rPr>
              <w:t>Nghị định 87/2010/NĐ-CP</w:t>
            </w:r>
          </w:p>
        </w:tc>
        <w:tc>
          <w:p/>
          <w:p>
            <w:pPr>
              <w:spacing w:after="0" w:before="0" w:lineRule="auto" w:line="276"/>
              <w:jc w:val="left"/>
            </w:pPr>
            <w:r>
              <w:rPr>
                <w:rFonts w:ascii="Times New Roman" w:hAnsi="Times New Roman" w:cs="Times New Roman" w:eastAsia="Times New Roman"/>
                <w:b w:val="false"/>
                <w:sz w:val="26"/>
              </w:rPr>
              <w:t>13-08-2010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45/2005/QH11</w:t>
            </w:r>
          </w:p>
        </w:tc>
        <w:tc>
          <w:p/>
          <w:p>
            <w:pPr>
              <w:spacing w:after="0" w:before="0" w:lineRule="auto" w:line="276"/>
              <w:jc w:val="left"/>
            </w:pPr>
            <w:r>
              <w:rPr>
                <w:rFonts w:ascii="Times New Roman" w:hAnsi="Times New Roman" w:cs="Times New Roman" w:eastAsia="Times New Roman"/>
                <w:b w:val="false"/>
                <w:sz w:val="26"/>
              </w:rPr>
              <w:t>Thuế xuất khẩu, thuế nhập khẩu</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219/2013/TT-BTC </w:t>
            </w:r>
          </w:p>
        </w:tc>
        <w:tc>
          <w:p/>
          <w:p>
            <w:pPr>
              <w:spacing w:after="0" w:before="0" w:lineRule="auto" w:line="276"/>
              <w:jc w:val="left"/>
            </w:pPr>
            <w:r>
              <w:rPr>
                <w:rFonts w:ascii="Times New Roman" w:hAnsi="Times New Roman" w:cs="Times New Roman" w:eastAsia="Times New Roman"/>
                <w:b w:val="false"/>
                <w:sz w:val="26"/>
              </w:rPr>
              <w:t>Hướng dẫn thi hành Luật Thuế giá trị gia tăng và Nghị định số 209/2013/NĐ-CP ngày 18/12/2013 của Chính phủ quy định chi tiết và hướng dẫn thi hành một số điều Luật Thuế giá trị gia tăng;</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Danh mục hàng hóa là tài sản di chuyển thuộc danh mục hàng hóa cấm nhập khẩu, hàng hóa thuộc danh mục hạn chế nhập khẩu, nhập khẩu có điều kiện được mang vào Việt Nam tùy từng thời kỳ và định mức hàng hóa là tài sản di chuyển miễn thuế thực hiện theo Quyết định số 31/2015/QĐ-TTg ngày 04 tháng 08 năm 2015 của Thủ tướng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2026-05-12T15:41:53Z</dcterms:created>
  <dc:creator>Apache POI</dc:creator>
</cp:coreProperties>
</file>