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phương pháp trích khấu hao tài sản cố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lập thông báo phương pháp trích khấu hao tài sản cố định mà doanh nghiệp lựa chọn áp dụng và gửi đến cơ quan thuế trực tiếp quản lý trước khi thực hiện trích khấu hao theo quy định.</w:t>
      </w:r>
    </w:p>
    <w:p>
      <w:pPr>
        <w:spacing w:after="0" w:before="0" w:lineRule="auto" w:line="276"/>
        <w:jc w:val="both"/>
      </w:pPr>
      <w:r>
        <w:rPr>
          <w:rFonts w:ascii="Times New Roman" w:hAnsi="Times New Roman" w:cs="Times New Roman" w:eastAsia="Times New Roman"/>
          <w:b w:val="false"/>
          <w:sz w:val="26"/>
        </w:rPr>
        <w:t>+  Bước 2. Cơ quan thuế tiếp nhận:</w:t>
      </w:r>
    </w:p>
    <w:p>
      <w:pPr>
        <w:spacing w:after="0" w:before="0" w:lineRule="auto" w:line="276"/>
        <w:jc w:val="both"/>
      </w:pPr>
      <w:r>
        <w:rPr>
          <w:rFonts w:ascii="Times New Roman" w:hAnsi="Times New Roman" w:cs="Times New Roman" w:eastAsia="Times New Roman"/>
          <w:b w:val="false"/>
          <w:sz w:val="26"/>
        </w:rPr>
        <w:t>++ Trường hợp hồ sơ được nộp trực tiếp tại cơ quan thuế, công chức thuế tiếp nhận và đóng dấu tiếp nhận hồ sơ, ghi thời gian nhận hồ sơ, ghi nhận số lượng tài liệu trong hồ sơ và ghi vào sổ văn thư của cơ quan thuế.</w:t>
      </w:r>
    </w:p>
    <w:p>
      <w:pPr>
        <w:spacing w:after="0" w:before="0" w:lineRule="auto" w:line="276"/>
        <w:jc w:val="both"/>
      </w:pPr>
      <w:r>
        <w:rPr>
          <w:rFonts w:ascii="Times New Roman" w:hAnsi="Times New Roman" w:cs="Times New Roman" w:eastAsia="Times New Roman"/>
          <w:b w:val="false"/>
          <w:sz w:val="26"/>
        </w:rPr>
        <w:t>++ Trường hợp hồ sơ được gửi qua đường bưu chính, công chức thuế đóng dấu ghi ngày nhận hồ sơ và ghi vào sổ văn thư của cơ quan thuế.</w:t>
      </w:r>
    </w:p>
    <w:p>
      <w:pPr>
        <w:spacing w:after="0" w:before="0" w:lineRule="auto" w:line="276"/>
        <w:jc w:val="both"/>
      </w:pPr>
      <w:r>
        <w:rPr>
          <w:rFonts w:ascii="Times New Roman" w:hAnsi="Times New Roman" w:cs="Times New Roman" w:eastAsia="Times New Roman"/>
          <w:b w:val="false"/>
          <w:sz w:val="26"/>
        </w:rPr>
        <w:t>++ Trường hợp hồ sơ được nộp thông qua giao dịch điện tử, việc tiếp nhận, kiểm tra, chấp nhận hồ sơ khai thuế do cơ quan thuế thực hiện thông qua hệ thống xử lý dữ liệu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phương pháp trích khấu hao tài sản cố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huyện,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78/2006/QH11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14/2008/QH12</w:t>
            </w:r>
          </w:p>
        </w:tc>
        <w:tc>
          <w:p/>
          <w:p>
            <w:pPr>
              <w:spacing w:after="0" w:before="0" w:lineRule="auto" w:line="276"/>
              <w:jc w:val="left"/>
            </w:pPr>
            <w:r>
              <w:rPr>
                <w:rFonts w:ascii="Times New Roman" w:hAnsi="Times New Roman" w:cs="Times New Roman" w:eastAsia="Times New Roman"/>
                <w:b w:val="false"/>
                <w:sz w:val="26"/>
              </w:rPr>
              <w:t>Thuế thu nhập doanh nghiệp</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83/2013/NĐ-CP</w:t>
            </w:r>
          </w:p>
        </w:tc>
        <w:tc>
          <w:p/>
          <w:p>
            <w:pPr>
              <w:spacing w:after="0" w:before="0" w:lineRule="auto" w:line="276"/>
              <w:jc w:val="left"/>
            </w:pPr>
            <w:r>
              <w:rPr>
                <w:rFonts w:ascii="Times New Roman" w:hAnsi="Times New Roman" w:cs="Times New Roman" w:eastAsia="Times New Roman"/>
                <w:b w:val="false"/>
                <w:sz w:val="26"/>
              </w:rPr>
              <w:t>Nghị định 83/2013/NĐ-CP Quy định chi tiết thi hành một số điều của Luật Quản lý thuế và Luật Sửa đổi, bổ sung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22-07-2013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110/2015/TT-BTC</w:t>
            </w:r>
          </w:p>
        </w:tc>
        <w:tc>
          <w:p/>
          <w:p>
            <w:pPr>
              <w:spacing w:after="0" w:before="0" w:lineRule="auto" w:line="276"/>
              <w:jc w:val="left"/>
            </w:pPr>
            <w:r>
              <w:rPr>
                <w:rFonts w:ascii="Times New Roman" w:hAnsi="Times New Roman" w:cs="Times New Roman" w:eastAsia="Times New Roman"/>
                <w:b w:val="false"/>
                <w:sz w:val="26"/>
              </w:rPr>
              <w:t>Thông tư số 110/2015/TT-BTC</w:t>
            </w:r>
          </w:p>
        </w:tc>
        <w:tc>
          <w:p/>
          <w:p>
            <w:pPr>
              <w:spacing w:after="0" w:before="0" w:lineRule="auto" w:line="276"/>
              <w:jc w:val="left"/>
            </w:pPr>
            <w:r>
              <w:rPr>
                <w:rFonts w:ascii="Times New Roman" w:hAnsi="Times New Roman" w:cs="Times New Roman" w:eastAsia="Times New Roman"/>
                <w:b w:val="false"/>
                <w:sz w:val="26"/>
              </w:rPr>
              <w:t>28-07-2015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151/2014/TT-BTC </w:t>
            </w:r>
          </w:p>
        </w:tc>
        <w:tc>
          <w:p/>
          <w:p>
            <w:pPr>
              <w:spacing w:after="0" w:before="0" w:lineRule="auto" w:line="276"/>
              <w:jc w:val="left"/>
            </w:pPr>
            <w:r>
              <w:rPr>
                <w:rFonts w:ascii="Times New Roman" w:hAnsi="Times New Roman" w:cs="Times New Roman" w:eastAsia="Times New Roman"/>
                <w:b w:val="false"/>
                <w:sz w:val="26"/>
              </w:rPr>
              <w:t>hướng dẫn thi hành Nghị định số 91/2014/NĐ-CP ngày 01/10/2014 của Chính phủ về việc sửa đổi, bổ sung một số điều tại các Nghị định quy định  về thuế</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71/2014/QH13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CÁC LUẬT VỀ THUẾ</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12/2015/NĐ-CP</w:t>
            </w:r>
          </w:p>
        </w:tc>
        <w:tc>
          <w:p/>
          <w:p>
            <w:pPr>
              <w:spacing w:after="0" w:before="0" w:lineRule="auto" w:line="276"/>
              <w:jc w:val="left"/>
            </w:pPr>
            <w:r>
              <w:rPr>
                <w:rFonts w:ascii="Times New Roman" w:hAnsi="Times New Roman" w:cs="Times New Roman" w:eastAsia="Times New Roman"/>
                <w:b w:val="false"/>
                <w:sz w:val="26"/>
              </w:rPr>
              <w:t>Quy định chi tiết thi hành Luật sửa đổi, bổ sung một số điều của các Luật về thuế và sửa đổi, bổ sung một số điều của các Nghị định về thuế</w:t>
            </w:r>
          </w:p>
        </w:tc>
        <w:tc>
          <w:p/>
          <w:p>
            <w:pPr>
              <w:spacing w:after="0" w:before="0" w:lineRule="auto" w:line="276"/>
              <w:jc w:val="left"/>
            </w:pPr>
            <w:r>
              <w:rPr>
                <w:rFonts w:ascii="Times New Roman" w:hAnsi="Times New Roman" w:cs="Times New Roman" w:eastAsia="Times New Roman"/>
                <w:b w:val="false"/>
                <w:sz w:val="26"/>
              </w:rPr>
              <w:t>12-02-2015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78/2014/TT-BTC  </w:t>
            </w:r>
          </w:p>
        </w:tc>
        <w:tc>
          <w:p/>
          <w:p>
            <w:pPr>
              <w:spacing w:after="0" w:before="0" w:lineRule="auto" w:line="276"/>
              <w:jc w:val="left"/>
            </w:pPr>
            <w:r>
              <w:rPr>
                <w:rFonts w:ascii="Times New Roman" w:hAnsi="Times New Roman" w:cs="Times New Roman" w:eastAsia="Times New Roman"/>
                <w:b w:val="false"/>
                <w:sz w:val="26"/>
              </w:rPr>
              <w:t>hướng dẫn thi hành Nghị định số 218/2013/NĐ-CP ngày 26/12/2013 của Chính phủ quy định và hướng dẫn thi hành Luật thuế thu nhập doanh nghiệp</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45/2013/TT-BTC </w:t>
            </w:r>
          </w:p>
        </w:tc>
        <w:tc>
          <w:p/>
          <w:p>
            <w:pPr>
              <w:spacing w:after="0" w:before="0" w:lineRule="auto" w:line="276"/>
              <w:jc w:val="left"/>
            </w:pPr>
            <w:r>
              <w:rPr>
                <w:rFonts w:ascii="Times New Roman" w:hAnsi="Times New Roman" w:cs="Times New Roman" w:eastAsia="Times New Roman"/>
                <w:b w:val="false"/>
                <w:sz w:val="26"/>
              </w:rPr>
              <w:t>hướng dẫn chế độ quản lý, sử dụng và trích khấu hao tài sản cố định</w:t>
            </w:r>
          </w:p>
        </w:tc>
        <w:tc>
          <w:p/>
          <w:p>
            <w:pPr>
              <w:spacing w:after="0" w:before="0" w:lineRule="auto" w:line="276"/>
              <w:jc w:val="left"/>
            </w:pPr>
            <w:r>
              <w:rPr>
                <w:rFonts w:ascii="Times New Roman" w:hAnsi="Times New Roman" w:cs="Times New Roman" w:eastAsia="Times New Roman"/>
                <w:b w:val="false"/>
                <w:sz w:val="26"/>
              </w:rPr>
              <w:t>25-04-2013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96/2015/TT-BTC</w:t>
            </w:r>
          </w:p>
        </w:tc>
        <w:tc>
          <w:p/>
          <w:p>
            <w:pPr>
              <w:spacing w:after="0" w:before="0" w:lineRule="auto" w:line="276"/>
              <w:jc w:val="left"/>
            </w:pPr>
            <w:r>
              <w:rPr>
                <w:rFonts w:ascii="Times New Roman" w:hAnsi="Times New Roman" w:cs="Times New Roman" w:eastAsia="Times New Roman"/>
                <w:b w:val="false"/>
                <w:sz w:val="26"/>
              </w:rPr>
              <w:t>hướng dẫn về thuế thu nhập doanh nghiệp tại Nghị định số 12/2015/NĐ-CP ngày 12/2/2015 của Chính phủ quy định chi tiết thi hành Luật sửa đổi, bổ sung một số điều của các Luật về thuế và sửa đổi bổ sung một số điều của các Nghị định về thuế và sửa đổi, bổ sung một số điều của Thông tư số 78/2014/TT-BTC ngày 18/6/2014, Thông tư số 119/2014/TT-BTC ngày 25/8/2014, Thông tư số 151/2014/TT-BTC ngày 10/10/2014 của Bộ Tài chính</w:t>
            </w:r>
          </w:p>
        </w:tc>
        <w:tc>
          <w:p/>
          <w:p>
            <w:pPr>
              <w:spacing w:after="0" w:before="0" w:lineRule="auto" w:line="276"/>
              <w:jc w:val="left"/>
            </w:pPr>
            <w:r>
              <w:rPr>
                <w:rFonts w:ascii="Times New Roman" w:hAnsi="Times New Roman" w:cs="Times New Roman" w:eastAsia="Times New Roman"/>
                <w:b w:val="false"/>
                <w:sz w:val="26"/>
              </w:rPr>
              <w:t>22-06-2015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2026-05-20T04:34:07Z</dcterms:created>
  <dc:creator>Apache POI</dc:creator>
</cp:coreProperties>
</file>