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lưu hành xe quá tải trọng, xe quá khổ giới hạn, xe bánh xích, xe vận chuyển hàng siêu trường, siêu trọng trên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(đề nghị cấp giấy phép lưu hành xe) nộp bộ hồ sơ đến Trung tâm Phục vụ hành chính công tỉnh Điện Biên</w:t>
      </w:r>
    </w:p>
    <w:p>
      <w:pPr>
        <w:spacing w:after="0" w:before="0" w:lineRule="auto" w:line="276"/>
        <w:jc w:val="both"/>
      </w:pPr>
      <w:r>
        <w:rPr>
          <w:rFonts w:ascii="Times New Roman" w:hAnsi="Times New Roman" w:cs="Times New Roman" w:eastAsia="Times New Roman"/>
          <w:b w:val="false"/>
          <w:sz w:val="26"/>
        </w:rPr>
        <w:t>b) Giải quyết TTHC:
- Tiếp nhận và kiểm tra thành phần hồ sơ:
+ Đối với trường hợp nộp hồ sơ trực tiếp: Sở Xây dựng kiểm tra hồ sơ ngay trong ngày làm việc. Trường hợp hồ sơ chưa đầy đủ thì hướng dẫn bằng văn bản để tổ chức, cá nhân bổ sung, hoàn thiện lại hồ sơ; trường hợp hồ sơ đầy đủ theo quy định thì tiếp nhận và viết phiếu hẹn trả kết quả.
+ Đối với trường hợp nộp hồ sơ qua hệ thống bưu chính hoặc trực tuyến: Trong thời hạn 02 (hai) ngày làm việc, kể từ ngày nhận được hồ sơ, Sở Xây dựng kiểm tra hồ sơ. Trường hợp hồ sơ chưa đầy đủ thì hướng dẫn bằng văn bản để tổ chức cá nhân bổ sung, hoàn thiện lại hồ sơ; trường hợp hồ sơ đầy đủ theo quy định thì tiếp nhận và giải quyết hồ sơ.</w:t>
      </w:r>
    </w:p>
    <w:p>
      <w:pPr>
        <w:spacing w:after="0" w:before="0" w:lineRule="auto" w:line="276"/>
        <w:jc w:val="both"/>
      </w:pPr>
      <w:r>
        <w:rPr>
          <w:rFonts w:ascii="Times New Roman" w:hAnsi="Times New Roman" w:cs="Times New Roman" w:eastAsia="Times New Roman"/>
          <w:b w:val="false"/>
          <w:sz w:val="26"/>
        </w:rPr>
        <w:t>- Thẩm định hồ sơ và trả kết quả: Trong thời hạn 01 (một) ngày làm việc kể từ khi nhận đủ hồ sơ theo quy định, Sở Xây dựng cấp giấy phép lưu hành xe; trường hợp không cấp phải có văn bản trả lời và nêu rõ lý do.</w:t>
      </w:r>
    </w:p>
    <w:p>
      <w:pPr>
        <w:spacing w:after="0" w:before="0" w:lineRule="auto" w:line="276"/>
        <w:jc w:val="both"/>
      </w:pPr>
      <w:r>
        <w:rPr>
          <w:rFonts w:ascii="Times New Roman" w:hAnsi="Times New Roman" w:cs="Times New Roman" w:eastAsia="Times New Roman"/>
          <w:b w:val="false"/>
          <w:sz w:val="26"/>
        </w:rPr>
        <w:t>- Trên tuyến, đoạn tuyến đường bộ đã được khảo sát, thiết kế, gia cường công trình đường bộ (nếu có), Sở Xây dựng được sử dụng báo cáo kết quả khảo sát, báo cáo kết quả hoàn thành gia cường công trình đường bộ trong thời gian 06 (sáu) tháng tính từ ngày lập báo cáo để phục vụ việc cấp giấy phép lưu hành xe cho các xe quá tải trọng, xe quá khổ giới hạn, xe vận chuyển hàng siêu trường, siêu trọng có các thông số (gồm: kích thước bao ngoài, khối lượng toàn bộ của xe, tải trọng trục xe, cụm trục xe) tương đương hoặc nhỏ hơn phương tiện đã được cấp giấy phép lưu hành xe trước đó khi lưu hành trên tuyến, đoạn tuyến đường bộ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hoàn thành gia cường công trình đường bộ (đối với trường hợp phải gia cường công trình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của cơ quan, tổ chức có thẩm quyền (đối với trường hợp quy định tại điểm b, điểm c và điểm d khoản 1 Điều 22 của Thông tư số 12/2025/TT-BXD ngày 30 tháng 6 năm 2025 của Bộ trưởng Bộ Xây dựng mà cơ quan, tổ chức có thẩm quyền không trực tiếp ký 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khảo sát (đối với trường hợp phải khảo sát đường bộ) theo mẫu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lưu hành xe quá tải trọng, xe quá khổ giới hạn, xe vận chuyển hàng siêu trường, siêu trọng trên đường bộ., Giấy phép lưu hành xe bánh xích tự hành trên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46/2015/TT-BGTVT</w:t>
            </w:r>
          </w:p>
        </w:tc>
        <w:tc>
          <w:p/>
          <w:p>
            <w:pPr>
              <w:spacing w:after="0" w:before="0" w:lineRule="auto" w:line="276"/>
              <w:jc w:val="left"/>
            </w:pPr>
            <w:r>
              <w:rPr>
                <w:rFonts w:ascii="Times New Roman" w:hAnsi="Times New Roman" w:cs="Times New Roman" w:eastAsia="Times New Roman"/>
                <w:b w:val="false"/>
                <w:sz w:val="26"/>
              </w:rPr>
              <w:t>Quy định về tải trọng, khổ giới hạn của đường bộ; lưu hành xe quá tải trọng, xe quá khổ giới hạn, xe bánh xích trên đường bộ; vận chuyển hàng siêu trường, siêu trọng; giới hạn xếp hàng hóa trên phương tiện giao thông đường bộ khi tham gia giao thông trên đường bộ</w:t>
            </w:r>
          </w:p>
        </w:tc>
        <w:tc>
          <w:p/>
          <w:p>
            <w:pPr>
              <w:spacing w:after="0" w:before="0" w:lineRule="auto" w:line="276"/>
              <w:jc w:val="left"/>
            </w:pPr>
            <w:r>
              <w:rPr>
                <w:rFonts w:ascii="Times New Roman" w:hAnsi="Times New Roman" w:cs="Times New Roman" w:eastAsia="Times New Roman"/>
                <w:b w:val="false"/>
                <w:sz w:val="26"/>
              </w:rPr>
              <w:t>07-09-2015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Số: 35/2023/TT-BGTVT</w:t>
            </w:r>
          </w:p>
        </w:tc>
        <w:tc>
          <w:p/>
          <w:p>
            <w:pPr>
              <w:spacing w:after="0" w:before="0" w:lineRule="auto" w:line="276"/>
              <w:jc w:val="left"/>
            </w:pPr>
            <w:r>
              <w:rPr>
                <w:rFonts w:ascii="Times New Roman" w:hAnsi="Times New Roman" w:cs="Times New Roman" w:eastAsia="Times New Roman"/>
                <w:b w:val="false"/>
                <w:sz w:val="26"/>
              </w:rPr>
              <w:t>Thông tư số 35/2023/TT-BGTVT ngày 13 tháng 12 năm 2023 của Bộ trưởng Bộ Giao thông vận tải sửa đổi, bổ sung một số điều của Thông tư số 46/2015/TT-BGTVT ngày 07 tháng 9 năm 2015 của Bộ trưởng Bộ Giao thông vận tải quy định về tải trọng, khổ giới hạn của đường bộ; lưu hành xe quá tải trọng, xe quá khổ giới hạn, xe bánh xích trên đường bộ; vận chuyển hàng siêu trường, siêu trọng và giới hạn xếp hàng hóa trên phương tiện giao thông đường bộ khi tham gia giao thông trên đường bộ</w:t>
            </w:r>
          </w:p>
        </w:tc>
        <w:tc>
          <w:p/>
          <w:p>
            <w:pPr>
              <w:spacing w:after="0" w:before="0" w:lineRule="auto" w:line="276"/>
              <w:jc w:val="left"/>
            </w:pPr>
            <w:r>
              <w:rPr>
                <w:rFonts w:ascii="Times New Roman" w:hAnsi="Times New Roman" w:cs="Times New Roman" w:eastAsia="Times New Roman"/>
                <w:b w:val="false"/>
                <w:sz w:val="26"/>
              </w:rPr>
              <w:t>13-12-2023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39/2024/TT-BGTVT</w:t>
            </w:r>
          </w:p>
        </w:tc>
        <w:tc>
          <w:p/>
          <w:p>
            <w:pPr>
              <w:spacing w:after="0" w:before="0" w:lineRule="auto" w:line="276"/>
              <w:jc w:val="left"/>
            </w:pPr>
            <w:r>
              <w:rPr>
                <w:rFonts w:ascii="Times New Roman" w:hAnsi="Times New Roman" w:cs="Times New Roman" w:eastAsia="Times New Roman"/>
                <w:b w:val="false"/>
                <w:sz w:val="26"/>
              </w:rPr>
              <w:t>Quy định về tải trọng, khổ giới hạn của đường bộ; lưu hành xe quá khổ giới hạn, xe quá tải trọng, xe bánh xích trên đường bộ; hàng siêu trường, siêu trọng, vận chuyển hàng siêu trường, siêu trọng; xếp hàng hóa trên phương tiện giao thông đường bộ; cấp giấy phép lưu hành cho xe quá tải trọng, xe quá khổ giới hạn, xe bánh xích, xe vận chuyển hàng siêu trường, siêu trọng trên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12/2025/TT-BXD</w:t>
            </w:r>
          </w:p>
        </w:tc>
        <w:tc>
          <w:p/>
          <w:p>
            <w:pPr>
              <w:spacing w:after="0" w:before="0" w:lineRule="auto" w:line="276"/>
              <w:jc w:val="left"/>
            </w:pPr>
            <w:r>
              <w:rPr>
                <w:rFonts w:ascii="Times New Roman" w:hAnsi="Times New Roman" w:cs="Times New Roman" w:eastAsia="Times New Roman"/>
                <w:b w:val="false"/>
                <w:sz w:val="26"/>
              </w:rPr>
              <w:t>Quy định về tải trọng, khổ giới hạn của đường bộ; lưu hành xe quá khổ giới hạn, xe quá tải trọng, xe bánh xích trên đường bộ; hàng siêu trường, siêu trọng, vận chuyển hàng siêu trường, siêu trọng; xếp hàng hóa trên phương tiện giao thông đường bộ; cấp giấy phép lưu hành cho xe quá tải trọng, xe quá khổ giới hạn, xe bánh xích, xe vận chuyển hàng siêu trường, siêu trọng trên đường bộ</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quy định tại Điều 22, Điều 24 của Thông tư số 12/2025/TT-BXD ngày 30 tháng 6 năm 2025 của Bộ trưởng Bộ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2026-05-22T12:32:32Z</dcterms:created>
  <dc:creator>Apache POI</dc:creator>
</cp:coreProperties>
</file>