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hỗ trợ sử dụng dịch vụ tư vấn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doanh nghiệp nhỏ và vừa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nhỏ và vừa tiếp cận mạng lưới tư vấn viên trên Cổng thông tin quốc gia hỗ trợ doanh nghiệp nhỏ và vừa, trang thông tin điện tử của các bộ, cơ quan ngang bộ để lựa chọn tư vấn viên hoặc tổ chức tư vấn và dịch vụ tư vấn phù hợp nhu cầu của doanh nghiệp.</w:t>
      </w:r>
    </w:p>
    <w:p>
      <w:pPr>
        <w:spacing w:after="0" w:before="0" w:lineRule="auto" w:line="276"/>
        <w:jc w:val="both"/>
      </w:pPr>
      <w:r>
        <w:rPr>
          <w:rFonts w:ascii="Times New Roman" w:hAnsi="Times New Roman" w:cs="Times New Roman" w:eastAsia="Times New Roman"/>
          <w:b w:val="false"/>
          <w:sz w:val="26"/>
        </w:rPr>
        <w:t>Doanh nghiệp nhỏ và vừa nộp hồ sơ đề nghị hỗ trợ tư vấn tại đơn vị hỗ trợ doanh nghiệp nhỏ và vừa.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đề nghị hỗ trợ tư vấn theo hướng dẫn của đơn vị hỗ trợ doanh nghiệp nhỏ và vừa thuộc UBND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đề nghị hỗ trợ tư vấn theo hướng dẫn của đơn vị hỗ trợ doanh nghiệp nhỏ và vừa thuộc UBND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đề nghị hỗ trợ tư vấn theo hướng dẫn của đơn vị hỗ trợ doanh nghiệp nhỏ và vừa thuộc UBND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đăng ký kinh doanh của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mã số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chứng từ nộp lệ phí môn bài, các loại thuế và khoản nộp ngân sách nhà nước khác (nếu có), ờ khai thuế trong thời hạn 01 năm trước khi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xml:space="preserve">Bộ phận tiếp nhận và trả kết quả của Sở Kế hoạch và Đầu tư tại Trung tâm Phục vụ hành chính công tỉnh Thanh Hóa (Số 28 Đại lộ Lê Lợi, phường Điện Biên, thành phố Thanh Hóa)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04/2017/QH14</w:t>
            </w:r>
          </w:p>
        </w:tc>
        <w:tc>
          <w:p/>
          <w:p>
            <w:pPr>
              <w:spacing w:after="0" w:before="0" w:lineRule="auto" w:line="276"/>
              <w:jc w:val="left"/>
            </w:pPr>
            <w:r>
              <w:rPr>
                <w:rFonts w:ascii="Times New Roman" w:hAnsi="Times New Roman" w:cs="Times New Roman" w:eastAsia="Times New Roman"/>
                <w:b w:val="false"/>
                <w:sz w:val="26"/>
              </w:rPr>
              <w:t>hỗ trợ doanh nghiệp nhỏ và vừa</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Hỗ trợ doanh nghiệp vừa và nhỏ</w:t>
            </w:r>
          </w:p>
        </w:tc>
        <w:tc>
          <w:p/>
          <w:p>
            <w:pPr>
              <w:spacing w:after="0" w:before="0" w:lineRule="auto" w:line="276"/>
              <w:jc w:val="left"/>
            </w:pPr>
            <w:r>
              <w:rPr>
                <w:rFonts w:ascii="Times New Roman" w:hAnsi="Times New Roman" w:cs="Times New Roman" w:eastAsia="Times New Roman"/>
                <w:b w:val="false"/>
                <w:sz w:val="26"/>
              </w:rPr>
              <w:t>11-03-2018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06/2019/TT-BKHĐT	</w:t>
            </w:r>
          </w:p>
        </w:tc>
        <w:tc>
          <w:p/>
          <w:p>
            <w:pPr>
              <w:spacing w:after="0" w:before="0" w:lineRule="auto" w:line="276"/>
              <w:jc w:val="left"/>
            </w:pPr>
            <w:r>
              <w:rPr>
                <w:rFonts w:ascii="Times New Roman" w:hAnsi="Times New Roman" w:cs="Times New Roman" w:eastAsia="Times New Roman"/>
                <w:b w:val="false"/>
                <w:sz w:val="26"/>
              </w:rPr>
              <w:t>Hướng dẫn quy chế tổ chức và hoạt động của mạng lưới tư vấn viên, hỗ trợ tư vấn cho doanh nghiệp nhỏ và vừa thông qua mạng lưới tư vấn viên</w:t>
            </w:r>
          </w:p>
        </w:tc>
        <w:tc>
          <w:p/>
          <w:p>
            <w:pPr>
              <w:spacing w:after="0" w:before="0" w:lineRule="auto" w:line="276"/>
              <w:jc w:val="left"/>
            </w:pPr>
            <w:r>
              <w:rPr>
                <w:rFonts w:ascii="Times New Roman" w:hAnsi="Times New Roman" w:cs="Times New Roman" w:eastAsia="Times New Roman"/>
                <w:b w:val="false"/>
                <w:sz w:val="26"/>
              </w:rPr>
              <w:t>29-03-2019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 xml:space="preserve">Thủ tục, đề nghị, hỗ trợ sử dụng dịch vụ tư vấn </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2026-05-26T13:15:37Z</dcterms:created>
  <dc:creator>Apache POI</dc:creator>
</cp:coreProperties>
</file>