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1.007836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2065/QĐ-BTC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gia hạn nộp tiền thuế, tiền chậm nộp, tiền phạt đối với trường hợp quy định tại khoản 1 Điều 31 Nghị định số 83/2013/NĐ-CP ngày 22/7/2013, được sửa đổi, bổ sung tại khoản 8 Điều 5 Nghị định số 12/2015/NĐ-CP ngày 12/02/2015 của Chính phủ đối với trường hợp bị thiệt hại vật chất, gây ảnh hưởng trực tiếp đến sản xuất, kinh doanh do gặp thiên tai, hỏa hoạn, tai nạn bất ngờ; phải ngừng hoạt động do di dời cơ sở sản xuất, kinh doanh theo yêu cầu của cơ quan nhà nước có thẩm quyền làm ảnh hưởng đến kết quả sản xuất, kinh doanh; không có khả năng nộp thuế đúng hạn trong trường hợp nguyên liệu, vật tư nhập khẩu để sản xuất hàng hóa xuất khẩu có chu kỳ sản xuất, dự trữ dài hơn 275 ngày hoặc do phía khách hàng hủy hợp đồng hoặc kéo dài thời gian giao hàng mà số tiền thuế, tiền chậm nộp, tiền phạt phát sinh tại một Chi cục hải quan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Hải quan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Bước 1: Tổ chức, cá nhân thuộc diện được gia hạn nộp tiền thuế, tiền chậm nộp, tiền phạt theo quy định tại điểm a, điểm b, điểm c khoản 1 Điều 31 Nghị định số 83/2013/NĐ-CP được sửa đổi, bổ sung tại khoản 8 Điều 5 Nghị định số 12/2015/NĐ-CP phải lập và gửi hồ sơ gia hạn cho cơ quan hải quan nơi có khoản nợ tiền thuế, tiền chậm nộp, tiền phạt đề nghị gia hạn. </w:t>
      </w:r>
    </w:p>
    <w:p>
      <w:pPr>
        <w:spacing w:after="0" w:before="0" w:lineRule="auto" w:line="276"/>
        <w:jc w:val="both"/>
      </w:pPr>
      <w:r>
        <w:rPr>
          <w:rFonts w:ascii="Times New Roman" w:hAnsi="Times New Roman" w:cs="Times New Roman" w:eastAsia="Times New Roman"/>
          <w:b w:val="false"/>
          <w:sz w:val="26"/>
        </w:rPr>
        <w:t>- Bước 2: Cơ quan hải quan nơi tổ chức, cá nhân có khoản nợ tiền thuế, tiền chậm nộp, tiền phạt tiếp nhận, kiểm tra, xác nhận thông tin và xử lý hồ sơ gia hạn theo quy định tại Điều 52 Luật Quản lý thuế.</w:t>
      </w:r>
    </w:p>
    <w:p>
      <w:pPr>
        <w:spacing w:after="0" w:before="0" w:lineRule="auto" w:line="276"/>
        <w:jc w:val="both"/>
      </w:pPr>
      <w:r>
        <w:rPr>
          <w:rFonts w:ascii="Times New Roman" w:hAnsi="Times New Roman" w:cs="Times New Roman" w:eastAsia="Times New Roman"/>
          <w:b w:val="false"/>
          <w:sz w:val="26"/>
        </w:rPr>
        <w:t>Đối với nguyên liệu, vật tư nhập khẩu để sản xuất hàng xuất khẩu được gia hạn theo quy định tại điểm c khoản 1 Điều 31 Nghị định số 83/2013/NĐ-CP được sửa đổi, bổ sung tại khoản 8 Điều 5 Nghị định số 12/2015/NĐ-CP; Chi cục Hải quan nơi đăng ký tờ khai hải quan hàng hóa nhập khẩu tiếp nhận, kiểm tra sơ bộ hồ sơ và xử lý như sau:
	+ Trường hợp hồ sơ không đầy đủ, không đúng đối tượng thì Chi cục có văn bản thông báo cho tổ chức, cá nhân nêu rõ lý do. Thời hạn xử lý: trong vòng 03 ngày làm việc kể từ khi nhận được hồ sơ;
	+ Trường hợp hồ sơ đầy đủ, đúng đối tượng, Chi cục phải báo cáo để
Cục Hải quan xem xét, quyết định chấp thuận việc gia hạn thời hạn nộp thuế hơn 275 ngày. Thời hạn xử lý: trong vòng 10 ngày làm việc kể từ ngày nhận đủ hồ sơ.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vòng 10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vòng 10 ngày làm việc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gia hạn nộp tiền thuế, tiền chậm nộp, tiền phạt, trong đó nêu rõ lý do, số tiền thuế, tiền chậm nộp, tiền phạt, thời gian xin gia hạn; trường hợp số tiền thuế, tiền chậm nộp, tiền phạt đề nghị gia hạn thuộc nhiều tờ khai hải quan khác nhau thì phải liệt kê các tờ khai hải quan đề nghị gia hạn, cam kết kê khai chính xác và cung cấp đúng hồ sơ đề nghị gia hạn; kế hoạch và cam kết nộp số tiền thuế, tiền chậm nộp, tiền phạt đề nghị gia hạn: nộp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hải quan của số tiền thuế, tiền chậm nộp, tiền phạt đề nghị gia hạn; hợp đồng mua bán hàng hoá: nộp 01 bản chụp (đối với trường hợp thuộc thẩm quyền gia hạn của Chi cục trưởng Hải quan); hồ sơ khai thuế của số tiền thuế, tiền chậm nộp, tiền phạt đề nghị gia hạn: nộp 01 bản chụp (đối với trường hợp không thuộc thẩm quyền gia hạn của Chi cục trưởng Hải quan); Báo cáo số tiền thuế, tiền chậm nộp, tiền phạt phải nộp phát sinh tại thời điểm phát sinh các nguyên nhân: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trường hợp quy định tại điểm a khoản 1 Điều 31 Nghị định số 83/2013/NĐ-CP được sửa đổi, bổ sung tại khoản 8 Điều 5 Nghị định số 12/2015/NĐ-CP thì có thêm:  	++ Biên bản xác định mức độ thiệt hại, giá trị thiệt hại của cơ quan nhà nước có thẩm quyền;  	++ Biên bản xác nhận vụ cháy của cơ quan cảnh sát phòng cháy chữa cháy tại địa phương nơi xảy ra vụ cháy; văn bản xác nhận của UBND cấp xã, phường, thị trấn nơi phát sinh thiên tai, tai nạn bất ngờ: nộp 01 bản chính; Chứng từ trên được lập ngay sau khi xảy ra thiên tai, hỏa hoạn, tai nạn bất ngờ.</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trường hợp quy định tại điểm b khoản 1 Điều 31 Nghị định số 83/2013/NĐ-CP được sửa đổi, bổ sung tại khoản 8 Điều 5 Nghị định số 12/2015/NĐ-CP thì có thêm: 	++ Quyết định thu hồi địa điểm sản xuất, kinh doanh của cơ quan nhà nước có thẩm quyền đối với địa điểm sản xuất cũ của doanh nghiệp theo quy định của pháp luật, không phải di dời địa điểm sản xuất kinh doanh theo mục đích yêu cầu của doanh nghiệp: nộp 01 bản chụp; 	++ Văn bản xác nhận của Uỷ ban nhân dân cấp xã, phường, thị trấn về việc doanh nghiệp phải ngừng sản xuất kinh doanh do di chuyển địa điểm: nộp 01 bản chính;  	++ Tài liệu chứng minh mức độ thiệt hại trực tiếp do phải di chuyển địa điểm kinh doanh, giá trị thiệt hại: được xác định căn cứ vào hồ sơ, chứng từ và các chế độ quy định của pháp luật có liên quan trực tiếp, gồm: giá trị còn lại của nhà, xưởng, kho, trang thiết bị bị phá dỡ không thu hồi được vốn (nguyên giá sau khi trừ chi phí đã khấu hao), chi phí tháo dỡ trang thiết bị, nhà xưởng ở cơ sở cũ, chi phí vận chuyển lắp đặt ở cơ sở mới (sau khi trừ đi chi phí thu hồi), chi phí trả lương cho người lao động do ngừng làm việc (nếu có), trường hợp phức tạp, liên quan đến chuyên ngành kinh tế kỹ thuật khác phải có văn bản xin ý kiến cơ quan chuyên môn: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nguyên liệu, vật tư nhập khẩu để sản xuất hàng xuất khẩu đáp ứng điều kiện quy định tại khoản 1 Điều 42 Thông tư số 38/2015/TT-BTC và quy định tại điểm c khoản 1 Điều 31 Nghị định số 83/2013/NĐ-CP được sửa đổi, bổ sung tại khoản 8 Điều 5 Nghị định số 12/2015/NĐ-CP: Trong văn bản đề nghị gia hạn thời hạn nộp thuế dài hơn 275 ngày, người nộp thuế phải giải trình rõ việc dự trữ nguyên liệu, vật tư, mô tả quy trình, thời gian sản xuất phù hợp với thực tế của việc dự trữ nguyên liệu, vật tư: 01 bản chính; Giấy tờ chứng minh khách hàng nước ngoài hủy hợp đồng và việc kéo dài thời hạn giao hàng trên hợp đồng xuất khẩu sản phẩm 275 ngày có nguyên nhân do thời hạn giao hàng trên hợp đồng xuất khẩu sản phẩm phải kéo dài hơn: nộp 01 bản chụp;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trường hợp gặp khó khăn đặc biệt khác quy định tại điểm d khoản 1 Điều 31 Nghị định số 83/2013/NĐ-CP được sửa đổi, bổ sung tại khoản 8 Điều 5 Nghị định số 12/2015/NĐ-CP phải có thêm: chứng từ, tài liệu liên quan đến nguyên nhân không có khả năng nộp thuế đúng hạn do gặp khó khăn khách quan đặc biệt.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Hải quan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Chi cục Hải quan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văn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21/2012/QH13</w:t>
            </w:r>
          </w:p>
        </w:tc>
        <w:tc>
          <w:p/>
          <w:p>
            <w:pPr>
              <w:spacing w:after="0" w:before="0" w:lineRule="auto" w:line="276"/>
              <w:jc w:val="left"/>
            </w:pPr>
            <w:r>
              <w:rPr>
                <w:rFonts w:ascii="Times New Roman" w:hAnsi="Times New Roman" w:cs="Times New Roman" w:eastAsia="Times New Roman"/>
                <w:b w:val="false"/>
                <w:sz w:val="26"/>
              </w:rPr>
              <w:t>Luật 21/2012/QH13</w:t>
            </w:r>
          </w:p>
        </w:tc>
        <w:tc>
          <w:p/>
          <w:p>
            <w:pPr>
              <w:spacing w:after="0" w:before="0" w:lineRule="auto" w:line="276"/>
              <w:jc w:val="left"/>
            </w:pPr>
            <w:r>
              <w:rPr>
                <w:rFonts w:ascii="Times New Roman" w:hAnsi="Times New Roman" w:cs="Times New Roman" w:eastAsia="Times New Roman"/>
                <w:b w:val="false"/>
                <w:sz w:val="26"/>
              </w:rPr>
              <w:t>20-11-2012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78/2006/QH11</w:t>
            </w:r>
          </w:p>
        </w:tc>
        <w:tc>
          <w:p/>
          <w:p>
            <w:pPr>
              <w:spacing w:after="0" w:before="0" w:lineRule="auto" w:line="276"/>
              <w:jc w:val="left"/>
            </w:pPr>
            <w:r>
              <w:rPr>
                <w:rFonts w:ascii="Times New Roman" w:hAnsi="Times New Roman" w:cs="Times New Roman" w:eastAsia="Times New Roman"/>
                <w:b w:val="false"/>
                <w:sz w:val="26"/>
              </w:rPr>
              <w:t>Luật Quản lý thuế</w:t>
            </w:r>
          </w:p>
        </w:tc>
        <w:tc>
          <w:p/>
          <w:p>
            <w:pPr>
              <w:spacing w:after="0" w:before="0" w:lineRule="auto" w:line="276"/>
              <w:jc w:val="left"/>
            </w:pPr>
            <w:r>
              <w:rPr>
                <w:rFonts w:ascii="Times New Roman" w:hAnsi="Times New Roman" w:cs="Times New Roman" w:eastAsia="Times New Roman"/>
                <w:b w:val="false"/>
                <w:sz w:val="26"/>
              </w:rPr>
              <w:t>01-07-2007</w:t>
            </w:r>
          </w:p>
        </w:tc>
        <w:tc>
          <w:p/>
        </w:tc>
      </w:tr>
      <w:tr>
        <w:tc>
          <w:p/>
          <w:p>
            <w:pPr>
              <w:spacing w:after="0" w:before="0" w:lineRule="auto" w:line="276"/>
              <w:jc w:val="left"/>
            </w:pPr>
            <w:r>
              <w:rPr>
                <w:rFonts w:ascii="Times New Roman" w:hAnsi="Times New Roman" w:cs="Times New Roman" w:eastAsia="Times New Roman"/>
                <w:b w:val="false"/>
                <w:sz w:val="26"/>
              </w:rPr>
              <w:t>38/2015/TT-BTC</w:t>
            </w:r>
          </w:p>
        </w:tc>
        <w:tc>
          <w:p/>
          <w:p>
            <w:pPr>
              <w:spacing w:after="0" w:before="0" w:lineRule="auto" w:line="276"/>
              <w:jc w:val="left"/>
            </w:pPr>
            <w:r>
              <w:rPr>
                <w:rFonts w:ascii="Times New Roman" w:hAnsi="Times New Roman" w:cs="Times New Roman" w:eastAsia="Times New Roman"/>
                <w:b w:val="false"/>
                <w:sz w:val="26"/>
              </w:rPr>
              <w:t>Thông tư 38/2015/TT-BTC</w:t>
            </w:r>
          </w:p>
        </w:tc>
        <w:tc>
          <w:p/>
          <w:p>
            <w:pPr>
              <w:spacing w:after="0" w:before="0" w:lineRule="auto" w:line="276"/>
              <w:jc w:val="left"/>
            </w:pPr>
            <w:r>
              <w:rPr>
                <w:rFonts w:ascii="Times New Roman" w:hAnsi="Times New Roman" w:cs="Times New Roman" w:eastAsia="Times New Roman"/>
                <w:b w:val="false"/>
                <w:sz w:val="26"/>
              </w:rPr>
              <w:t>25-03-2015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83/2013/NĐ-CP</w:t>
            </w:r>
          </w:p>
        </w:tc>
        <w:tc>
          <w:p/>
          <w:p>
            <w:pPr>
              <w:spacing w:after="0" w:before="0" w:lineRule="auto" w:line="276"/>
              <w:jc w:val="left"/>
            </w:pPr>
            <w:r>
              <w:rPr>
                <w:rFonts w:ascii="Times New Roman" w:hAnsi="Times New Roman" w:cs="Times New Roman" w:eastAsia="Times New Roman"/>
                <w:b w:val="false"/>
                <w:sz w:val="26"/>
              </w:rPr>
              <w:t>Nghị định 83/2013/NĐ-CP Quy định chi tiết thi hành một số điều của Luật Quản lý thuế và Luật Sửa đổi, bổ sung một số điều của Luật Quản lý thuế</w:t>
            </w:r>
          </w:p>
        </w:tc>
        <w:tc>
          <w:p/>
          <w:p>
            <w:pPr>
              <w:spacing w:after="0" w:before="0" w:lineRule="auto" w:line="276"/>
              <w:jc w:val="left"/>
            </w:pPr>
            <w:r>
              <w:rPr>
                <w:rFonts w:ascii="Times New Roman" w:hAnsi="Times New Roman" w:cs="Times New Roman" w:eastAsia="Times New Roman"/>
                <w:b w:val="false"/>
                <w:sz w:val="26"/>
              </w:rPr>
              <w:t>22-07-2013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12/2015/NĐ-CP</w:t>
            </w:r>
          </w:p>
        </w:tc>
        <w:tc>
          <w:p/>
          <w:p>
            <w:pPr>
              <w:spacing w:after="0" w:before="0" w:lineRule="auto" w:line="276"/>
              <w:jc w:val="left"/>
            </w:pPr>
            <w:r>
              <w:rPr>
                <w:rFonts w:ascii="Times New Roman" w:hAnsi="Times New Roman" w:cs="Times New Roman" w:eastAsia="Times New Roman"/>
                <w:b w:val="false"/>
                <w:sz w:val="26"/>
              </w:rPr>
              <w:t>Quy định chi tiết thi hành Luật sửa đổi, bổ sung một số điều của các Luật về thuế và sửa đổi, bổ sung một số điều của các Nghị định về thuế</w:t>
            </w:r>
          </w:p>
        </w:tc>
        <w:tc>
          <w:p/>
          <w:p>
            <w:pPr>
              <w:spacing w:after="0" w:before="0" w:lineRule="auto" w:line="276"/>
              <w:jc w:val="left"/>
            </w:pPr>
            <w:r>
              <w:rPr>
                <w:rFonts w:ascii="Times New Roman" w:hAnsi="Times New Roman" w:cs="Times New Roman" w:eastAsia="Times New Roman"/>
                <w:b w:val="false"/>
                <w:sz w:val="26"/>
              </w:rPr>
              <w:t>12-02-2015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2026-05-19T12:37:07Z</dcterms:created>
  <dc:creator>Apache POI</dc:creator>
</cp:coreProperties>
</file>