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2.001988.000.00.00.H36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cấp sư phạm (theo đề nghị của tổ chức, cá nhân đề nghị thành lập trường trung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có thẩm quyền quyết định thành lập hoặc cho phép thành lập trường trung cấp sư phạm tổ chức kiểm tra tình trạng thực tế của trường;</w:t>
      </w:r>
    </w:p>
    <w:p>
      <w:pPr>
        <w:spacing w:after="0" w:before="0" w:lineRule="auto" w:line="276"/>
        <w:jc w:val="both"/>
      </w:pPr>
      <w:r>
        <w:rPr>
          <w:rFonts w:ascii="Times New Roman" w:hAnsi="Times New Roman" w:cs="Times New Roman" w:eastAsia="Times New Roman"/>
          <w:b w:val="false"/>
          <w:sz w:val="26"/>
        </w:rPr>
        <w:t>b) Căn cứ kết quả kiểm tra, người có thẩm quyền quyết định giải thể trường trung cấp. Quyết định giải thể phải xác định rõ lý do giải thể, các biện pháp bảo đảm quyền, lợi ích hợp pháp của người học, nhà giáo, cán bộ quản lý và nhân viên trong trường và phải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công văn đề nghị giải thể của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công văn đề nghị giải thể của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của trường đề nghị giải thể nêu rõ lý do giải thể, các phương án giải quyết các vấn đề về quyền, lợi ích hợp pháp của người học, giáo viên, cán bộ quản lý và nhân viên trong trường (chỉ áp dụng đối với trường hợp tổ chức, cá nhân đề nghị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Số 36 Trần Phú, Tp. Đà Lạt,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giáo dục nghề nghiệp, trường trung cấp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2026-05-05T23:26:39Z</dcterms:created>
  <dc:creator>Apache POI</dc:creator>
</cp:coreProperties>
</file>