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kiểm tra, giám sát hải quan đối với hàng hoá trung chuyển tại cảng biển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hải quan, kiểm tra, giám sát hải quan đối với hàng hóa trung chuyển tại cảng biển gồm 02 Trường hợp:</w:t>
      </w:r>
    </w:p>
    <w:p>
      <w:pPr>
        <w:spacing w:after="0" w:before="0" w:lineRule="auto" w:line="276"/>
        <w:jc w:val="both"/>
      </w:pPr>
      <w:r>
        <w:rPr>
          <w:rFonts w:ascii="Times New Roman" w:hAnsi="Times New Roman" w:cs="Times New Roman" w:eastAsia="Times New Roman"/>
          <w:b w:val="false"/>
          <w:sz w:val="26"/>
        </w:rPr>
        <w:t>Trường hợp A: Hàng hoá trung chuyển vận chuyển giữa các cảng biển, hàng hóa trung chuyển vận chuyển giữa các bến cảng trong cùng một cảng biển</w:t>
      </w:r>
    </w:p>
    <w:p>
      <w:pPr>
        <w:spacing w:after="0" w:before="0" w:lineRule="auto" w:line="276"/>
        <w:jc w:val="both"/>
      </w:pPr>
      <w:r>
        <w:rPr>
          <w:rFonts w:ascii="Times New Roman" w:hAnsi="Times New Roman" w:cs="Times New Roman" w:eastAsia="Times New Roman"/>
          <w:b w:val="false"/>
          <w:sz w:val="26"/>
        </w:rPr>
        <w:t>Trường hợp B: hàng hóa trung chuyển từ nước ngoài đưa vào khu vực trung chuyển và được đưa ra nước ngoài trực tiếp từ khu vực trung chuyển này.</w:t>
      </w:r>
    </w:p>
    <w:p>
      <w:pPr>
        <w:shd w:val="clear" w:color="auto" w:fill="F2F6F9"/>
        <w:spacing w:after="0" w:before="120" w:lineRule="auto" w:line="276"/>
        <w:jc w:val="both"/>
      </w:pPr>
      <w:r>
        <w:rPr>
          <w:rFonts w:ascii="Times New Roman" w:hAnsi="Times New Roman" w:cs="Times New Roman" w:eastAsia="Times New Roman"/>
          <w:b w:val="true"/>
          <w:sz w:val="26"/>
        </w:rPr>
        <w:t>Trường hợp A:</w:t>
      </w:r>
    </w:p>
    <w:p>
      <w:pPr>
        <w:spacing w:after="0" w:before="0" w:lineRule="auto" w:line="276"/>
        <w:jc w:val="both"/>
      </w:pPr>
      <w:r>
        <w:rPr>
          <w:rFonts w:ascii="Times New Roman" w:hAnsi="Times New Roman" w:cs="Times New Roman" w:eastAsia="Times New Roman"/>
          <w:b w:val="false"/>
          <w:sz w:val="26"/>
        </w:rPr>
        <w:t>+ Bước 1: Người khai hải quan khai thông tin tờ khai vận chuyển độc lập theo các chỉ tiêu thông tin quy định.</w:t>
      </w:r>
    </w:p>
    <w:p>
      <w:pPr>
        <w:spacing w:after="0" w:before="0" w:lineRule="auto" w:line="276"/>
        <w:jc w:val="both"/>
      </w:pPr>
      <w:r>
        <w:rPr>
          <w:rFonts w:ascii="Times New Roman" w:hAnsi="Times New Roman" w:cs="Times New Roman" w:eastAsia="Times New Roman"/>
          <w:b w:val="false"/>
          <w:sz w:val="26"/>
        </w:rPr>
        <w:t>+ Bước 2: Cơ quan Hải quan tiếp nhận, kiểm tra, phê duyệt phê duyệt Tờ khai vận chuyển độc lập theo quy định</w:t>
      </w:r>
    </w:p>
    <w:p>
      <w:pPr>
        <w:spacing w:after="0" w:before="0" w:lineRule="auto" w:line="276"/>
        <w:jc w:val="both"/>
      </w:pPr>
      <w:r>
        <w:rPr>
          <w:rFonts w:ascii="Times New Roman" w:hAnsi="Times New Roman" w:cs="Times New Roman" w:eastAsia="Times New Roman"/>
          <w:b w:val="false"/>
          <w:sz w:val="26"/>
        </w:rPr>
        <w:t>+ Bước 3: Cơ quan Hải quan niêm phong hải quan đối với các trường hợp phải niêm phong hải quan và cập nhật số niêm phong hải quan trên Hệ thống.</w:t>
      </w:r>
    </w:p>
    <w:p>
      <w:pPr>
        <w:spacing w:after="0" w:before="0" w:lineRule="auto" w:line="276"/>
        <w:jc w:val="both"/>
      </w:pPr>
      <w:r>
        <w:rPr>
          <w:rFonts w:ascii="Times New Roman" w:hAnsi="Times New Roman" w:cs="Times New Roman" w:eastAsia="Times New Roman"/>
          <w:b w:val="false"/>
          <w:sz w:val="26"/>
        </w:rPr>
        <w:t>+ Bước 4: Cơ quan hải quan cập nhật thông tin hàng hóa vận chuyển đi vào Hệ thống và theo dõi thông tin lô hàng vận chuyền chịu sự giám sát hải quan.</w:t>
      </w:r>
    </w:p>
    <w:p>
      <w:pPr>
        <w:spacing w:after="0" w:before="0" w:lineRule="auto" w:line="276"/>
        <w:jc w:val="both"/>
      </w:pPr>
      <w:r>
        <w:rPr>
          <w:rFonts w:ascii="Times New Roman" w:hAnsi="Times New Roman" w:cs="Times New Roman" w:eastAsia="Times New Roman"/>
          <w:b w:val="false"/>
          <w:sz w:val="26"/>
        </w:rPr>
        <w:t>+ Bước 5: Cơ quan hải quan nơi hàng hóa vận chuyễn đến tiếp nhận hàng hóa kèm thông tin số Tờ khai vận chuyển độc lập đã được phê duyệt do người khai hải quan xuất trình và kiểm tra các thông tin về Tờ khai vận chuyển độc lập trên Hệ thống</w:t>
      </w:r>
    </w:p>
    <w:p>
      <w:pPr>
        <w:spacing w:after="0" w:before="0" w:lineRule="auto" w:line="276"/>
        <w:jc w:val="both"/>
      </w:pPr>
      <w:r>
        <w:rPr>
          <w:rFonts w:ascii="Times New Roman" w:hAnsi="Times New Roman" w:cs="Times New Roman" w:eastAsia="Times New Roman"/>
          <w:b w:val="false"/>
          <w:sz w:val="26"/>
        </w:rPr>
        <w:t>+ Bước 6: Cơ quan hải quan nơi hàng hóa vận chuyển đến kiểm tra tình trạng niêm phong hoặc nguyên trạng hàng hoá, đối chiếu số niêm phong thực tế với số niêm phong hải quan (nếu có) hoặc số hiệu niêm phong hãng vận chuyển (nếu có) trên Tờ khai vận chuyển độc lập, Bản kê danh sách container/gói/kiện hoặc đối chiếu nguyên trạng hàng hóa với các thông tin về hàng hóa đã được cập nhật trên Hệ thống trong trường hợp không thể niêm phong.</w:t>
      </w:r>
    </w:p>
    <w:p>
      <w:pPr>
        <w:spacing w:after="0" w:before="0" w:lineRule="auto" w:line="276"/>
        <w:jc w:val="both"/>
      </w:pPr>
      <w:r>
        <w:rPr>
          <w:rFonts w:ascii="Times New Roman" w:hAnsi="Times New Roman" w:cs="Times New Roman" w:eastAsia="Times New Roman"/>
          <w:b w:val="false"/>
          <w:sz w:val="26"/>
        </w:rPr>
        <w:t>+ Bước 7: Cập nhật thông tin hàng hóa vận chuyển dến đích vào Hệ thống ngay sau khi hàng hóa được vận chuyển đến.</w:t>
      </w:r>
    </w:p>
    <w:p>
      <w:pPr>
        <w:shd w:val="clear" w:color="auto" w:fill="F2F6F9"/>
        <w:spacing w:after="0" w:before="120" w:lineRule="auto" w:line="276"/>
        <w:jc w:val="both"/>
      </w:pPr>
      <w:r>
        <w:rPr>
          <w:rFonts w:ascii="Times New Roman" w:hAnsi="Times New Roman" w:cs="Times New Roman" w:eastAsia="Times New Roman"/>
          <w:b w:val="true"/>
          <w:sz w:val="26"/>
        </w:rPr>
        <w:t>Trường hợp B</w:t>
      </w:r>
    </w:p>
    <w:p>
      <w:pPr>
        <w:spacing w:after="0" w:before="0" w:lineRule="auto" w:line="276"/>
        <w:jc w:val="both"/>
      </w:pPr>
      <w:r>
        <w:rPr>
          <w:rFonts w:ascii="Times New Roman" w:hAnsi="Times New Roman" w:cs="Times New Roman" w:eastAsia="Times New Roman"/>
          <w:b w:val="false"/>
          <w:sz w:val="26"/>
        </w:rPr>
        <w:t>+ Bước 1: Người khai hải quan khai báo trên Bản kê hàng hóa trung chuyển và nộp kèm chứng từ.</w:t>
      </w:r>
    </w:p>
    <w:p>
      <w:pPr>
        <w:spacing w:after="0" w:before="0" w:lineRule="auto" w:line="276"/>
        <w:jc w:val="both"/>
      </w:pPr>
      <w:r>
        <w:rPr>
          <w:rFonts w:ascii="Times New Roman" w:hAnsi="Times New Roman" w:cs="Times New Roman" w:eastAsia="Times New Roman"/>
          <w:b w:val="false"/>
          <w:sz w:val="26"/>
        </w:rPr>
        <w:t>+ Bước 2: Cơ quan Hải quan tiếp nhận, kiểm tra bản kê hàng hóa trung chuyển, chứng từ thuộc bộ hồ sơ hải quan và phê duyệt phê Bản kê hàng hóa trung chuyển.
Trường hợp phát hiện có dấu hiệu vi phạm pháp luật thì công chức hải quan thực hiện kiểm tra thực tế hàng hóa và xử lý vi phạm theo quy định của pháp luật (nếu có).</w:t>
      </w:r>
    </w:p>
    <w:p>
      <w:pPr>
        <w:spacing w:after="0" w:before="0" w:lineRule="auto" w:line="276"/>
        <w:jc w:val="both"/>
      </w:pPr>
      <w:r>
        <w:rPr>
          <w:rFonts w:ascii="Times New Roman" w:hAnsi="Times New Roman" w:cs="Times New Roman" w:eastAsia="Times New Roman"/>
          <w:b w:val="false"/>
          <w:sz w:val="26"/>
        </w:rPr>
        <w:t>+ Bước 3: Khi hàng hóa quá cảnh được vận chuyển vào, ra khu vực cảng, cơ quan hải quan thực hiện việc xác nhận về số lượng hàng hóa thực tế vận chuyển vào, ra trên Bản kê hàng hóa trung chuyển trên cơ sở kiểm tra, đối chiếu thông tin container khai báo trên Bản kê với thông tin container vào, ra khu vực cảng về số hiệu container, số niêm phong hãng vận chuyển (nếu có).
Trường hợp kết quả kiểm tra, đối chiếu phù hợp, không có thông tin lô hàng có dấu hiệu vi phạm pháp luật thì cơ quan hải quan xác nhận trên Hệ thống. Trường hợp kết quả kiểm tra, đối chiếu không phù hợp thì xác minh, làm rõ và xử lý vi phạm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Cơ quan hải quan tiếp nhận, đăng ký, kiểm tra hồ sơ hải quan ngay sau khi người khai hải quan nộp, xuất trình hồ sơ hải quan theo quy định của Luật này. - Sau khi người khai hải quan thực hiện đầy đủ các yêu cầu để làm thủ tục hải quan quy định tại điểm a và điểm b khoản 1 Điều 21 của Luật Hải quan, thời hạn công chức hải quan hoàn thành kiểm tra hồ sơ và kiểm tra thực tế hàng hóa, phương tiện vận tải được quy định như sau: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Hoàn thành việc kiểm tra hồ sơ chậm nhất là 02 giờ làm việc kể từ thời điểm cơ quan hải quan tiếp nhận đầy đủ hồ sơ hải quan;
+ Hoàn thành việc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 Cơ quan hải quan thực hiện thủ tục hải quan đối với hàng hóa vào ngày lễ, ngày nghỉ và ngoài giờ làm việc để bảo đảm kịp thời việc xếp dỡ hàng hóa xuất khẩu, nhập khẩu, việc xuất cảnh, nhập cảnh của hành khách, phương tiện vận tải hoặc trên cơ sở đề nghị của người khai hải quan và phù hợp với điều kiện thực tế của địa bàn hoạt động hải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Cơ quan hải quan tiếp nhận, đăng ký, kiểm tra hồ sơ hải quan ngay sau khi người khai hải quan nộp, xuất trình hồ sơ hải quan theo quy định của Luật này. - Sau khi người khai hải quan thực hiện đầy đủ các yêu cầu để làm thủ tục hải quan quy định tại điểm a và điểm b khoản 1 Điều 21 của Luật Hải quan, thời hạn công chức hải quan hoàn thành kiểm tra hồ sơ và kiểm tra thực tế hàng hóa, phương tiện vận tải được quy định như sau: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Hoàn thành việc kiểm tra hồ sơ chậm nhất là 02 giờ làm việc kể từ thời điểm cơ quan hải quan tiếp nhận đầy đủ hồ sơ hải quan;
+ Hoàn thành việc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 Cơ quan hải quan thực hiện thủ tục hải quan đối với hàng hóa vào ngày lễ, ngày nghỉ và ngoài giờ làm việc để bảo đảm kịp thời việc xếp dỡ hàng hóa xuất khẩu, nhập khẩu, việc xuất cảnh, nhập cảnh của hành khách, phương tiện vận tải hoặc trên cơ sở đề nghị của người khai hải quan và phù hợp với điều kiện thực tế của địa bàn hoạt động hải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vận chuyển độc lập theo các chỉ tiêu thông tin quy định tại mẫu số 07 Phụ lục II ban hành kèm Thông tư số 38/2015/TT-BTC được sửa đổi, bổ sung bởi Thông tư số 39/2018/TT-BTC và Thông tư số 121/2025/TT-BTC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chi tiết hàng hóa trung chuyển theo các chỉ tiêu thông tin quy định tại mẫu số 09 Phụ lục I ban hành kèm Thông tư 39/2018/TT-BTC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danh sách container/kiện/gói theo mẫu số 10 Phụ lục I ban hành kèm Thông tư 39/2018/TT-BTC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vận đơn/ tờ khai xuất khẩu theo mẫu số 11 Phụ lục I ban hành kèm Thông tư 39/2018/TT-BTC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thay đổi phương thức vận chuyển, phương tiện vận tải trong quá trình vận chuyển theo Mẫu số 09b Phụ lục II ban hành kèm Thông tư số 38/2015/TT-BTC được sửa đổi, bổ sung bởi Thông tư số 39/2018/TT-BTC và Thông tư số 121/2025/TT-BTC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09a/VBĐN/GSQL Phụ lục V ban hành kèm Thông tư số 38/2015/TT-BTC được sửa đổi, bổ sung bởi Thông tư số 39/2018/TT-BTC và Thông tư số 121/2025/TT-BTC (Trường hợp hệ thống gặp sự cố);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Vận đơn hoặc các chứng từ vận tải khác có giá trị tương đương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quá cảnh; giấy thông báo kết quả kiểm tra chuyên ngành theo quy định của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B:</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kê hàng hóa trung chuyển theo chỉ tiêu thông tin quy định theo mẫu số 08 Phụ lục II ban hành kèm Thông tư số 38/2015/TT-BTC được sửa đổi, bổ sung bởi Thông tư số 39/2018/TT-BTC và Thông tư số 121/2025/TT-BTC;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toàn bộ hàng hóa đã được khai trên Bản lược khai hàng hóa điện tử, nếu người khai hải quan khai mã hồ sơ do cơ quan hải quan thông báo trên Hệ thống e-Manifest tại tiêu chí “Ghi chú 1” thì không phải nộp bản chụp vận đơn trong bộ hồ sơ hải quan; - Giấy thông báo kết quả kiểm tra chuyên ngành theo quy định của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kê hàng hóa trung chuyển được phê duyệt, Tờ khai hải quan (tờ khai vận chuyển độc lập), Bản kê chi tiết hàng hóa trung chuyển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39/2018/TT-BTC</w:t>
            </w:r>
          </w:p>
        </w:tc>
        <w:tc>
          <w:p/>
          <w:p>
            <w:pPr>
              <w:spacing w:after="0" w:before="0" w:lineRule="auto" w:line="276"/>
              <w:jc w:val="left"/>
            </w:pPr>
            <w:r>
              <w:rPr>
                <w:rFonts w:ascii="Times New Roman" w:hAnsi="Times New Roman" w:cs="Times New Roman" w:eastAsia="Times New Roman"/>
                <w:b w:val="false"/>
                <w:sz w:val="26"/>
              </w:rPr>
              <w:t>Thông tư 39/2018/TT-BTC</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121/2025/TT-BTC</w:t>
            </w:r>
          </w:p>
        </w:tc>
        <w:tc>
          <w:p/>
          <w:p>
            <w:pPr>
              <w:spacing w:after="0" w:before="0" w:lineRule="auto" w:line="276"/>
              <w:jc w:val="left"/>
            </w:pPr>
            <w:r>
              <w:rPr>
                <w:rFonts w:ascii="Times New Roman" w:hAnsi="Times New Roman" w:cs="Times New Roman" w:eastAsia="Times New Roman"/>
                <w:b w:val="false"/>
                <w:sz w:val="26"/>
              </w:rPr>
              <w:t>Thông tư số 121/2025/TT-BTC sửa đổi, bổ sung một số điều của các Thông tư quy định về thủ tục hải quan, kiểm tra, giám sát hải quan, thuế xuất khẩu, thuế nhập khẩu và quản lý thuế đối với hàng hoá xuất khẩu, nhập khẩu</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86/2025/TT-BTC</w:t>
            </w:r>
          </w:p>
        </w:tc>
        <w:tc>
          <w:p/>
          <w:p>
            <w:pPr>
              <w:spacing w:after="0" w:before="0" w:lineRule="auto" w:line="276"/>
              <w:jc w:val="left"/>
            </w:pPr>
            <w:r>
              <w:rPr>
                <w:rFonts w:ascii="Times New Roman" w:hAnsi="Times New Roman" w:cs="Times New Roman" w:eastAsia="Times New Roman"/>
                <w:b w:val="false"/>
                <w:sz w:val="26"/>
              </w:rPr>
              <w:t>Thông tư số 86/2025/TT-BTC của Bộ Tài chính: Quy định mức thu, chế độ thu, nộp, quản lý và sử dụng phí hải quan và lệ phí hàng hóa, phương tiện vận tải quá cảnh</w:t>
            </w:r>
          </w:p>
        </w:tc>
        <w:tc>
          <w:p/>
          <w:p>
            <w:pPr>
              <w:spacing w:after="0" w:before="0" w:lineRule="auto" w:line="276"/>
              <w:jc w:val="left"/>
            </w:pPr>
            <w:r>
              <w:rPr>
                <w:rFonts w:ascii="Times New Roman" w:hAnsi="Times New Roman" w:cs="Times New Roman" w:eastAsia="Times New Roman"/>
                <w:b w:val="false"/>
                <w:sz w:val="26"/>
              </w:rPr>
              <w:t>28-08-2025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là hàng hóa trung chuyển tại cảng biển theo quy định tại Điều 44 Nghị định số 08/2015/NĐ-CP được sửa đổi, bổ sung bởi Nghị định số 167/2025/NĐ-CP.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2026-05-25T23:00:51Z</dcterms:created>
  <dc:creator>Apache POI</dc:creator>
</cp:coreProperties>
</file>