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2.000162.000.00.00.H26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544/QĐ-TTPVHCC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Thương nhân bán lẻ sản phẩm thuốc lá gửi 01 bộ hồ sơ về Bộ phận tiếp nhận hồ sơ và trả kết quả giải quyết thủ tục hành chính UBND cấp xã.</w:t>
      </w:r>
    </w:p>
    <w:p>
      <w:pPr>
        <w:spacing w:after="0" w:before="0" w:lineRule="auto" w:line="276"/>
        <w:jc w:val="both"/>
      </w:pPr>
      <w:r>
        <w:rPr>
          <w:rFonts w:ascii="Times New Roman" w:hAnsi="Times New Roman" w:cs="Times New Roman" w:eastAsia="Times New Roman"/>
          <w:b w:val="false"/>
          <w:sz w:val="26"/>
        </w:rPr>
        <w:t>Trong thời hạn 15 ngày làm việc kể từ ngày nhận đủ hồ sơ hợp lệ, UBND cấp xã xem xét và cấp sửa đổi, bổ sung Giấy phép bán lẻ sản phẩm thuốc lá.</w:t>
      </w:r>
    </w:p>
    <w:p>
      <w:pPr>
        <w:spacing w:after="0" w:before="0" w:lineRule="auto" w:line="276"/>
        <w:jc w:val="both"/>
      </w:pPr>
      <w:r>
        <w:rPr>
          <w:rFonts w:ascii="Times New Roman" w:hAnsi="Times New Roman" w:cs="Times New Roman" w:eastAsia="Times New Roman"/>
          <w:b w:val="false"/>
          <w:sz w:val="26"/>
        </w:rPr>
        <w:t>Trường hợp thương nhân không đáp ứng được điều kiện theo quy định, UBND cấp xã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hồ sơ và trả kết quả giải quyết thủ tục hành chính UBND cấp xã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Trực tuyến tại Cổng Dịch vụ công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Theo Thông tư số 168/2016/TT-BTC ngày 26/10/2016 của Bộ trưởng Bộ Tài chính </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ngày làm việc, kể từ ngày nhận được hồ sơ đầy đủ và hợp lệ theo quy định </w:t>
            </w:r>
          </w:p>
        </w:tc>
        <w:tc>
          <w:p/>
          <w:p>
            <w:pPr>
              <w:spacing w:after="0" w:before="0" w:lineRule="auto" w:line="276"/>
              <w:jc w:val="left"/>
            </w:pPr>
            <w:r>
              <w:rPr>
                <w:rFonts w:ascii="Times New Roman" w:hAnsi="Times New Roman" w:cs="Times New Roman" w:eastAsia="Times New Roman"/>
                <w:b w:val="false"/>
                <w:sz w:val="26"/>
              </w:rPr>
              <w:t>Phí : 1.200.000đ/Điểm kinh doanh/Lần thẩm định Đồng</w:t>
              <w:t xml:space="preserve"> (Doanh nghiệp nộp phí và phí thẩm định trước khi nhận kết quả)</w:t>
            </w:r>
          </w:p>
        </w:tc>
        <w:tc>
          <w:p/>
          <w:p>
            <w:pPr>
              <w:spacing w:after="0" w:before="0" w:lineRule="auto" w:line="276"/>
              <w:jc w:val="left"/>
            </w:pPr>
            <w:r>
              <w:rPr>
                <w:rFonts w:ascii="Times New Roman" w:hAnsi="Times New Roman" w:cs="Times New Roman" w:eastAsia="Times New Roman"/>
                <w:b w:val="false"/>
                <w:sz w:val="26"/>
              </w:rPr>
              <w:t>Nộp hồ sơ qua hệ thống bưu chính đến Bộ phận tiếp nhận hồ sơ và trả kết quả giải quyết thủ tục hành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sửa đổi, bổ sung;</w:t>
            </w:r>
          </w:p>
        </w:tc>
        <w:tc>
          <w:p/>
          <w:p>
            <w:pPr>
              <w:spacing w:after="0" w:before="0" w:lineRule="auto" w:line="276"/>
              <w:jc w:val="left"/>
            </w:pPr>
            <w:r>
              <w:rPr>
                <w:rFonts w:ascii="Times New Roman" w:hAnsi="Times New Roman" w:cs="Times New Roman" w:eastAsia="Times New Roman"/>
                <w:b w:val="false"/>
                <w:sz w:val="26"/>
              </w:rPr>
              <w:t>PL46.docx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bán lẻ sản phẩm thuốc lá đã được cấp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huyện, quận, thành phố trực thuộc tỉnh, thị xã., Ban Quản lý các Khu công nghệ cao và khu công nghiệp thành phố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hồ sơ và trả kết quả giải quyết TTHC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Sửa đổi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21/2013/TT-BCT</w:t>
            </w:r>
          </w:p>
        </w:tc>
        <w:tc>
          <w:p/>
          <w:p>
            <w:pPr>
              <w:spacing w:after="0" w:before="0" w:lineRule="auto" w:line="276"/>
              <w:jc w:val="left"/>
            </w:pPr>
            <w:r>
              <w:rPr>
                <w:rFonts w:ascii="Times New Roman" w:hAnsi="Times New Roman" w:cs="Times New Roman" w:eastAsia="Times New Roman"/>
                <w:b w:val="false"/>
                <w:sz w:val="26"/>
              </w:rPr>
              <w:t>Quy định chi tiết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25-09-2013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106/2017/NĐ-CP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67/2013/NĐ-CP ngày 27 tháng 6 năm 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Thông tư 28/2019/TT-BCT</w:t>
            </w:r>
          </w:p>
        </w:tc>
        <w:tc>
          <w:p/>
          <w:p>
            <w:pPr>
              <w:spacing w:after="0" w:before="0" w:lineRule="auto" w:line="276"/>
              <w:jc w:val="left"/>
            </w:pPr>
            <w:r>
              <w:rPr>
                <w:rFonts w:ascii="Times New Roman" w:hAnsi="Times New Roman" w:cs="Times New Roman" w:eastAsia="Times New Roman"/>
                <w:b w:val="false"/>
                <w:sz w:val="26"/>
              </w:rPr>
              <w:t>15-11-2019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thay đổi các nội dung của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2026-05-07T05:23:17Z</dcterms:created>
  <dc:creator>Apache POI</dc:creator>
</cp:coreProperties>
</file>