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2.000150.000.00.00.H26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544/QĐ-TTPVHCC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bán lẻ sản phẩm thuốc lá gửi 01 bộ hồ sơ về Bộ phận tiếp nhận hồ sơ và trả kết quả giải quyết thủ tục hành chính UBND cấp xã</w:t>
      </w:r>
    </w:p>
    <w:p>
      <w:pPr>
        <w:spacing w:after="0" w:before="0" w:lineRule="auto" w:line="276"/>
        <w:jc w:val="both"/>
      </w:pPr>
      <w:r>
        <w:rPr>
          <w:rFonts w:ascii="Times New Roman" w:hAnsi="Times New Roman" w:cs="Times New Roman" w:eastAsia="Times New Roman"/>
          <w:b w:val="false"/>
          <w:sz w:val="26"/>
        </w:rPr>
        <w:t>UBND cấp xã kiểm tra và tiếp nhận hồ sơ của thương nhân</w:t>
      </w:r>
    </w:p>
    <w:p>
      <w:pPr>
        <w:spacing w:after="0" w:before="0" w:lineRule="auto" w:line="276"/>
        <w:jc w:val="both"/>
      </w:pPr>
      <w:r>
        <w:rPr>
          <w:rFonts w:ascii="Times New Roman" w:hAnsi="Times New Roman" w:cs="Times New Roman" w:eastAsia="Times New Roman"/>
          <w:b w:val="false"/>
          <w:sz w:val="26"/>
        </w:rPr>
        <w:t>UBND cấp xã tiến hành thẩm định hồ sơ và các điều kiện cần thiết để cấp phép hoặc từ chối cấp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ngày làm việc, kể từ ngày nhận được hồ sơ đầy đủ và hợp lệ theo quy định </w:t>
            </w:r>
          </w:p>
        </w:tc>
        <w:tc>
          <w:p/>
          <w:p>
            <w:pPr>
              <w:spacing w:after="0" w:before="0" w:lineRule="auto" w:line="276"/>
              <w:jc w:val="left"/>
            </w:pPr>
            <w:r>
              <w:rPr>
                <w:rFonts w:ascii="Times New Roman" w:hAnsi="Times New Roman" w:cs="Times New Roman" w:eastAsia="Times New Roman"/>
                <w:b w:val="false"/>
                <w:sz w:val="26"/>
              </w:rPr>
              <w:t>Phí : 1.200.000đ/Điểm kinh doanh/Lần thẩm định Đồng</w:t>
              <w:t xml:space="preserve"> (Doanh nghiệp nộp phí và phí thẩm định trước khi nhận kết quả)</w:t>
            </w:r>
          </w:p>
        </w:tc>
        <w:tc>
          <w:p/>
          <w:p>
            <w:pPr>
              <w:spacing w:after="0" w:before="0" w:lineRule="auto" w:line="276"/>
              <w:jc w:val="left"/>
            </w:pPr>
            <w:r>
              <w:rPr>
                <w:rFonts w:ascii="Times New Roman" w:hAnsi="Times New Roman" w:cs="Times New Roman" w:eastAsia="Times New Roman"/>
                <w:b w:val="false"/>
                <w:sz w:val="26"/>
              </w:rPr>
              <w:t>Nộp hồ sơ trực tiếp tại Bộ phận Một cửa thuộc Ban Quản lý các khu công nghiệp và chế xuất Hà Nội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ngày làm việc, kể từ ngày nhận được hồ sơ đầy đủ và hợp lệ theo quy định </w:t>
            </w:r>
          </w:p>
        </w:tc>
        <w:tc>
          <w:p/>
          <w:p>
            <w:pPr>
              <w:spacing w:after="0" w:before="0" w:lineRule="auto" w:line="276"/>
              <w:jc w:val="left"/>
            </w:pPr>
            <w:r>
              <w:rPr>
                <w:rFonts w:ascii="Times New Roman" w:hAnsi="Times New Roman" w:cs="Times New Roman" w:eastAsia="Times New Roman"/>
                <w:b w:val="false"/>
                <w:sz w:val="26"/>
              </w:rPr>
              <w:t>Phí : 1.200.000đ/Điểm kinh doanh/Lần thẩm định Đồng</w:t>
              <w:t xml:space="preserve"> (Doanh nghiệp nộp phí và phí thẩm định trước khi nhận kết quả)</w:t>
            </w:r>
          </w:p>
        </w:tc>
        <w:tc>
          <w:p/>
          <w:p>
            <w:pPr>
              <w:spacing w:after="0" w:before="0" w:lineRule="auto" w:line="276"/>
              <w:jc w:val="left"/>
            </w:pPr>
            <w:r>
              <w:rPr>
                <w:rFonts w:ascii="Times New Roman" w:hAnsi="Times New Roman" w:cs="Times New Roman" w:eastAsia="Times New Roman"/>
                <w:b w:val="false"/>
                <w:sz w:val="26"/>
              </w:rPr>
              <w:t>Trực tuyến tại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ngày làm việc, kể từ ngày nhận được hồ sơ đầy đủ và hợp lệ theo quy định </w:t>
            </w:r>
          </w:p>
        </w:tc>
        <w:tc>
          <w:p/>
          <w:p>
            <w:pPr>
              <w:spacing w:after="0" w:before="0" w:lineRule="auto" w:line="276"/>
              <w:jc w:val="left"/>
            </w:pPr>
            <w:r>
              <w:rPr>
                <w:rFonts w:ascii="Times New Roman" w:hAnsi="Times New Roman" w:cs="Times New Roman" w:eastAsia="Times New Roman"/>
                <w:b w:val="false"/>
                <w:sz w:val="26"/>
              </w:rPr>
              <w:t>Phí : 1.200.000đ/Điểm kinh doanh/Lần thẩm định Đồng</w:t>
              <w:t xml:space="preserve"> (Doanh nghiệp nộp phí và phí thẩm định trước khi nhận kết quả)</w:t>
            </w:r>
          </w:p>
        </w:tc>
        <w:tc>
          <w:p/>
          <w:p>
            <w:pPr>
              <w:spacing w:after="0" w:before="0" w:lineRule="auto" w:line="276"/>
              <w:jc w:val="left"/>
            </w:pPr>
            <w:r>
              <w:rPr>
                <w:rFonts w:ascii="Times New Roman" w:hAnsi="Times New Roman" w:cs="Times New Roman" w:eastAsia="Times New Roman"/>
                <w:b w:val="false"/>
                <w:sz w:val="26"/>
              </w:rPr>
              <w:t>Nộp hồ sơ qua hệ thống bưu chính đến Bộ phận Một cửa thuộc Ban Quản lý các khu công nghiệp và chế xuất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Giấy phép kinh doanh bán lẻ sản phẩm rượu bị mất, bị tiêu hủy toàn bộ hoặc một phần, bị rách, nát hoặc bị cháy: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sao Giấy phép bán lẻ sản phẩm thuốc lá đã được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cấp lại</w:t>
            </w:r>
          </w:p>
        </w:tc>
        <w:tc>
          <w:p/>
          <w:p>
            <w:pPr>
              <w:spacing w:after="0" w:before="0" w:lineRule="auto" w:line="276"/>
              <w:jc w:val="left"/>
            </w:pPr>
            <w:r>
              <w:rPr>
                <w:rFonts w:ascii="Times New Roman" w:hAnsi="Times New Roman" w:cs="Times New Roman" w:eastAsia="Times New Roman"/>
                <w:b w:val="false"/>
                <w:sz w:val="26"/>
              </w:rPr>
              <w:t>MaucaplaiTL.docx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cấp lại Giấy phép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thẩm quyền, trình tự, thủ tục cấp lại đối với quy định tại khoản này áp dụng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quận, thành phố trực thuộc tỉnh, thị xã., Ban Quản lý các Khu công nghệ cao và khu công nghiệp thành phố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hồ sơ và trả kết quả giải quyết TTHC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lại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phép Bị mất, bị tiêu hủy toàn bộ hoặc một phần, bị rách, nát hoặc bị cháy.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2026-05-07T05:24:43Z</dcterms:created>
  <dc:creator>Apache POI</dc:creator>
</cp:coreProperties>
</file>