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2.000620.000.00.00.H26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bán lẻ rượu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Thương nhân bán lẻ rượu nộp 01 bộ hồ sơ đề nghị cấp Giấy phép bán lẻ rượu trực tiếp hoặc qua đường bưu điện hoặc trực tuyến (nếu đủ điều kiện áp dụng) cho Phòng Kinh tế hoặc Phòng Kinh tế và Hạ tầng. </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đủ hồ sơ hợp lệ, Phòng Kinh tế hoặc Phòng Kinh tế và Hạ tầng xem xét, thẩm định và cấp giấy phép. Trường hợp từ chối cấp phải trả lời bằng văn bản và nêu rõ lý do;</w:t>
      </w:r>
    </w:p>
    <w:p>
      <w:pPr>
        <w:spacing w:after="0" w:before="0" w:lineRule="auto" w:line="276"/>
        <w:jc w:val="both"/>
      </w:pPr>
      <w:r>
        <w:rPr>
          <w:rFonts w:ascii="Times New Roman" w:hAnsi="Times New Roman" w:cs="Times New Roman" w:eastAsia="Times New Roman"/>
          <w:b w:val="false"/>
          <w:sz w:val="26"/>
        </w:rPr>
        <w:t xml:space="preserve"> Trường hợp chưa đủ hồ sơ hợp lệ, trong vòng 03 ngày làm việc kể từ ngày tiếp nhận hồ sơ, Phòng Kinh tế hoặc Phòng Kinh tế và Hạ tầng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doanh nghiệp, hợp tác xã, liên hiệp hợp tác xã hoặc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hợp đồng thuê/mượn hoặc tài liệu chứng minh quyền sử dụng hợp pháp cơ sở dự kiến làm địa điểm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văn bản giới thiệu hoặc hợp đồng nguyên tắc của thương nhân sản xuất rượu, thương nhân phân phối rượu hoặc thương nhân bán buôn rượu.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đề nghị cấp Giấy phép bán lẻ rượu theo Mẫu số 01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ruou01.docx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hồ sơ và trả kết quả giải quyết TTHC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rượu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24/2020/NĐ-CP</w:t>
            </w:r>
          </w:p>
        </w:tc>
        <w:tc>
          <w:p/>
          <w:p>
            <w:pPr>
              <w:spacing w:after="0" w:before="0" w:lineRule="auto" w:line="276"/>
              <w:jc w:val="left"/>
            </w:pPr>
            <w:r>
              <w:rPr>
                <w:rFonts w:ascii="Times New Roman" w:hAnsi="Times New Roman" w:cs="Times New Roman" w:eastAsia="Times New Roman"/>
                <w:b w:val="false"/>
                <w:sz w:val="26"/>
              </w:rPr>
              <w:t>Nghị định 24/2020/NĐ-CP</w:t>
            </w:r>
          </w:p>
        </w:tc>
        <w:tc>
          <w:p/>
          <w:p>
            <w:pPr>
              <w:spacing w:after="0" w:before="0" w:lineRule="auto" w:line="276"/>
              <w:jc w:val="left"/>
            </w:pPr>
            <w:r>
              <w:rPr>
                <w:rFonts w:ascii="Times New Roman" w:hAnsi="Times New Roman" w:cs="Times New Roman" w:eastAsia="Times New Roman"/>
                <w:b w:val="false"/>
                <w:sz w:val="26"/>
              </w:rPr>
              <w:t>24-02-2020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hợp tác xã, liên hiệp hợp tác xã hoặc hộ kinh doanh được thành lập theo quy định của pháp luật 
b) Có quyền sử dụng hợp pháp địa điểm kinh doanh cố định, địa chỉ rõ ràng. 
c) Có văn bản giới thiệu hoặc hợp đồng nguyên tắc của thương nhân sản xuất rượu, thương nhân phân phối rượu hoặc thương nhân bán buôn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2026-05-07T05:24:52Z</dcterms:created>
  <dc:creator>Apache POI</dc:creator>
</cp:coreProperties>
</file>