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1.004345.000.00.00.H36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Chuyển nhượng quyền khai thác khoáng sản (cấp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Địa chất và khoáng sản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Nộp hồ sơ Tổ chức, cá nhân đề nghị chuyển nhượng quyềnkhai thác khoáng sản nộp hồ sơ trực tiếp hoặc qua đường bưu điện đến Văn phòng Tiếp nhận và Trả kết quả giải quyết thủ tục hành chính của Ủy ban nhân dân cấp tỉnh (hoặc Bộ phận Tiếp nhận và Trả kết quả của Sở Nông nghiệp và Môi trường) hoặc nộp trực tuyến tại cổng thông tin điện tử do Ủy ban nhân dân tỉnh cung cấp. 
- Bước 2. Kiểm tra hồ sơ Cơ quan tiếp nhận hồ sơ có trách nhiệm kiểm tra văn bản, tài liệu có trong hồ sơ. Trường hợp: 
+ Văn bản, tài liệu theo đúng quy định thì cơ quan tiếp nhận ban hành phiếu tiếp nhận hồ sơ. 
+Hồ sơ chưa đầy đủ văn bản, tài liệu theo quy định hoặc đủ nhưng nội dung văn bản, tài liệu trong hồ sơ chưa bảo đảm đúng theo quy định của pháp luật thì cơ quan tiếp nhận hồ sơ hướng dẫn bằng văn bản cho tổ chức, cá nhân bổ sung, hoàn chỉnh hồ sơ. Việc hướng dẫn, yêu cầu bổ sung, hoàn chỉnh hồ sơ của cơ quan tiếp nhận hồ sơ chỉ thực hiện một lần. 
- Bước 3: Thẩm định hồ sơ Sở Nông nghiệp và Môi trường có trách nhiệm hoàn thành việc kiểm tra tọa độ, diện tích khu vực đề nghị gia hạn; các tài liệu, hồ sơ và các nội dung khác có liên quan đến chuyển nhượng quyền khai thác khoáng sản. 
- Bước 4. Trình hồ sơ, đề nghị cho phép chuyển nhượng căn cứ Báo cáo thẩm định của Sở Nông nghiệp và Môi trường, Ủy ban nhân dân tỉnh xem xét, quyết định việc cho phép hoặc không cho phép chuyển nhượng quyền khai thác khoáng sản. 
- Bước 5. Trả kết quả giải quyết thủ tục hành chính Cơ quan tiếp nhận hồ sơ trả kết quả giải quyết hồ sơ cho tổ chức, cá nhân đề nghị chuyển nhượng quyền khai thác khoáng sản.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Lệ phí : 500.000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Lệ phí : 7.500.000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vật liệu xây dựng thông thường không sử dụng vật liệu nổ công nghiệp Giấy phép khai thác khoáng sản làm vật liệu xây dựng thông thường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Lệ phí : 5.000.000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cát, sỏi lòng suối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Lệ phí : 7.500.000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cát, sỏi lòng suối Có công suất khai thác trên 10.000 m3/năm)</w:t>
            </w:r>
          </w:p>
          <w:p>
            <w:pPr>
              <w:spacing w:after="0" w:before="0" w:lineRule="auto" w:line="276"/>
              <w:jc w:val="left"/>
            </w:pPr>
            <w:r>
              <w:rPr>
                <w:rFonts w:ascii="Times New Roman" w:hAnsi="Times New Roman" w:cs="Times New Roman" w:eastAsia="Times New Roman"/>
                <w:b w:val="false"/>
                <w:sz w:val="26"/>
              </w:rPr>
              <w:t>Lệ phí : 10.000.000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vật liệu xây dựng thông thường không sử dụng vật liệu nổ công nghiệp Giấy phép khai thác khoáng sản làm vật liệu xây dựng thông thường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Lệ phí : 15.000.000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vật liệu xây dựng thông thường không sử dụng vật liệu nổ công nghiệp Giấy phép khai thác khoáng sản làm nguyên liệu xi măng; khoáng sản làm vật liệu xây dựng thông thường có diện tích từ 10 ha trở lên và công suất khai thác từ 100.000 m3/năm trở lên,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Lệ phí : 20.000.000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Lệ phí : 20.000.000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các loại khoáng sản lộ thiên trừ các loại khoáng sản đã quy định tại điểm 1, 2, 3, 6, 7 của Biểu mức thu này) + Không sử dụng vật liệu nổ công nghiệp)</w:t>
            </w:r>
          </w:p>
          <w:p>
            <w:pPr>
              <w:spacing w:after="0" w:before="0" w:lineRule="auto" w:line="276"/>
              <w:jc w:val="left"/>
            </w:pPr>
            <w:r>
              <w:rPr>
                <w:rFonts w:ascii="Times New Roman" w:hAnsi="Times New Roman" w:cs="Times New Roman" w:eastAsia="Times New Roman"/>
                <w:b w:val="false"/>
                <w:sz w:val="26"/>
              </w:rPr>
              <w:t>Lệ phí : 25.000.000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các loại khoáng sản lộ thiên trừ các loại khoáng sản đã quy định tại điểm 1, 2, 3, 6, 7 của Biểu mức thu này) Có sử dụng vật liệu nổ công nghiệp)</w:t>
            </w:r>
          </w:p>
          <w:p>
            <w:pPr>
              <w:spacing w:after="0" w:before="0" w:lineRule="auto" w:line="276"/>
              <w:jc w:val="left"/>
            </w:pPr>
            <w:r>
              <w:rPr>
                <w:rFonts w:ascii="Times New Roman" w:hAnsi="Times New Roman" w:cs="Times New Roman" w:eastAsia="Times New Roman"/>
                <w:b w:val="false"/>
                <w:sz w:val="26"/>
              </w:rPr>
              <w:t>Lệ phí : 30.000.000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các loại khoáng sản trong hầm lò trừ các loại khoáng sản đã quy định tại điểm 2, 3, 6 của Biểu mức thu này))</w:t>
            </w:r>
          </w:p>
          <w:p>
            <w:pPr>
              <w:spacing w:after="0" w:before="0" w:lineRule="auto" w:line="276"/>
              <w:jc w:val="left"/>
            </w:pPr>
            <w:r>
              <w:rPr>
                <w:rFonts w:ascii="Times New Roman" w:hAnsi="Times New Roman" w:cs="Times New Roman" w:eastAsia="Times New Roman"/>
                <w:b w:val="false"/>
                <w:sz w:val="26"/>
              </w:rPr>
              <w:t>Lệ phí : 40.000.000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quý hiếm)</w:t>
            </w:r>
          </w:p>
          <w:p>
            <w:pPr>
              <w:spacing w:after="0" w:before="0" w:lineRule="auto" w:line="276"/>
              <w:jc w:val="left"/>
            </w:pPr>
            <w:r>
              <w:rPr>
                <w:rFonts w:ascii="Times New Roman" w:hAnsi="Times New Roman" w:cs="Times New Roman" w:eastAsia="Times New Roman"/>
                <w:b w:val="false"/>
                <w:sz w:val="26"/>
              </w:rPr>
              <w:t>Lệ phí : 50.000.000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đặc biệt và độc hại)</w:t>
              <w:br/>
              <w:t>File đính kèm: Lệ phí cấp chuyển nhượng quyền khai thác khoáng sản.docx</w:t>
            </w:r>
          </w:p>
        </w:tc>
        <w:tc>
          <w:p/>
          <w:p>
            <w:pPr>
              <w:spacing w:after="0" w:before="0" w:lineRule="auto" w:line="276"/>
              <w:jc w:val="left"/>
            </w:pPr>
            <w:r>
              <w:rPr>
                <w:rFonts w:ascii="Times New Roman" w:hAnsi="Times New Roman" w:cs="Times New Roman" w:eastAsia="Times New Roman"/>
                <w:b w:val="false"/>
                <w:sz w:val="26"/>
              </w:rPr>
              <w:t>Không quá 45 ngày làm việc (chưa thực hiện cắt giảm theo QĐ 1773/QĐ-UBND) 
- Thời hạn kiểm tra hồ sơ: không quá 03 ngày làm việc. 
- Thời hạn thẩm định hồ sơ: 
+ Trong thời gian không quá 05 ngày làm việc, kể từ ngày có văn bản tiếp nhận hồ sơ, Sở Nông nghiệp và Môi trường có trách nhiệm hoàn thành việc kiểm tra tọa độ, diện tích khu vực đề nghị chuyển nhượng. 
+ Trong thời hạn không quá 27 ngày làm việc, Sở Nông nghiệp và Môi trường phải hoàn thành việc thẩm định các tài liệu, hồ sơ và các nội dung khác có liên quan đến chuyển nhượng - Thời hạn giải quyết chuyển nhượng quyền khai thác khai thác khoáng sản: 
+ Trong thời hạn không quá 02 ngày làm việc, Sở Nông nghiệp và Môi trường có trách nhiệm hoàn chỉnh và trình hồ sơ cho Ủy ban nhân dân cấp tỉnh. 
+ Trong thời hạn không quá 05 ngày làm việc, kể từ ngày nhận được hồ sơ của Sở Nông nghiệp và Môi trường, Ủy ban nhân dân cấp tỉnh quyết định cho phép hoặc không cho phép chuyển nhượng. Trong trường hợp không cho phép chuyển nhượng thì phải trả lời bằng văn bản và nêu rõ lý do. 
- Thời hạn thông báo và trả kết quả hồ sơ: Trong thời gian không quá 03 ngày làm việc, kể từ ngày nhận được hồ sơ của cơ quan nhà nước có thẩm quyền cấp phép, cơ quan tiếp nhận hồ sơ thông báo cho tổ chức, cá nhân đề nghị chuyển nhượng quyền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Lệ phí : 30.000.000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các loại khoáng sản trong hầm lò trừ các loại khoáng sản đã quy định tại điểm 2, 3, 6 của Biểu mức thu này))</w:t>
            </w:r>
          </w:p>
          <w:p>
            <w:pPr>
              <w:spacing w:after="0" w:before="0" w:lineRule="auto" w:line="276"/>
              <w:jc w:val="left"/>
            </w:pPr>
            <w:r>
              <w:rPr>
                <w:rFonts w:ascii="Times New Roman" w:hAnsi="Times New Roman" w:cs="Times New Roman" w:eastAsia="Times New Roman"/>
                <w:b w:val="false"/>
                <w:sz w:val="26"/>
              </w:rPr>
              <w:t>Lệ phí : 40.000.000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quý hiếm)</w:t>
            </w:r>
          </w:p>
          <w:p>
            <w:pPr>
              <w:spacing w:after="0" w:before="0" w:lineRule="auto" w:line="276"/>
              <w:jc w:val="left"/>
            </w:pPr>
            <w:r>
              <w:rPr>
                <w:rFonts w:ascii="Times New Roman" w:hAnsi="Times New Roman" w:cs="Times New Roman" w:eastAsia="Times New Roman"/>
                <w:b w:val="false"/>
                <w:sz w:val="26"/>
              </w:rPr>
              <w:t>Lệ phí : 50.000.000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đặc biệt và độc hại)</w:t>
              <w:br/>
              <w:t>File đính kèm: Lệ phí cấp chuyển nhượng quyền khai thác khoáng sản.docx</w:t>
            </w:r>
          </w:p>
          <w:p>
            <w:pPr>
              <w:spacing w:after="0" w:before="0" w:lineRule="auto" w:line="276"/>
              <w:jc w:val="left"/>
            </w:pPr>
            <w:r>
              <w:rPr>
                <w:rFonts w:ascii="Times New Roman" w:hAnsi="Times New Roman" w:cs="Times New Roman" w:eastAsia="Times New Roman"/>
                <w:b w:val="false"/>
                <w:sz w:val="26"/>
              </w:rPr>
              <w:t>Lệ phí : 25.000.000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các loại khoáng sản lộ thiên trừ các loại khoáng sản đã quy định tại điểm 1, 2, 3, 6, 7 của Biểu mức thu này) Có sử dụng vật liệu nổ công nghiệp)</w:t>
            </w:r>
          </w:p>
          <w:p>
            <w:pPr>
              <w:spacing w:after="0" w:before="0" w:lineRule="auto" w:line="276"/>
              <w:jc w:val="left"/>
            </w:pPr>
            <w:r>
              <w:rPr>
                <w:rFonts w:ascii="Times New Roman" w:hAnsi="Times New Roman" w:cs="Times New Roman" w:eastAsia="Times New Roman"/>
                <w:b w:val="false"/>
                <w:sz w:val="26"/>
              </w:rPr>
              <w:t>Lệ phí : 500.000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Lệ phí : 5.000.000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cát, sỏi lòng suối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Lệ phí : 7.500.000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cát, sỏi lòng suối Có công suất khai thác trên 10.000 m3/năm)</w:t>
            </w:r>
          </w:p>
          <w:p>
            <w:pPr>
              <w:spacing w:after="0" w:before="0" w:lineRule="auto" w:line="276"/>
              <w:jc w:val="left"/>
            </w:pPr>
            <w:r>
              <w:rPr>
                <w:rFonts w:ascii="Times New Roman" w:hAnsi="Times New Roman" w:cs="Times New Roman" w:eastAsia="Times New Roman"/>
                <w:b w:val="false"/>
                <w:sz w:val="26"/>
              </w:rPr>
              <w:t>Lệ phí : 7.500.000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vật liệu xây dựng thông thường không sử dụng vật liệu nổ công nghiệp Giấy phép khai thác khoáng sản làm vật liệu xây dựng thông thường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Lệ phí : 10.000.000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vật liệu xây dựng thông thường không sử dụng vật liệu nổ công nghiệp Giấy phép khai thác khoáng sản làm vật liệu xây dựng thông thường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Lệ phí : 15.000.000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vật liệu xây dựng thông thường không sử dụng vật liệu nổ công nghiệp Giấy phép khai thác khoáng sản làm nguyên liệu xi măng; khoáng sản làm vật liệu xây dựng thông thường có diện tích từ 10 ha trở lên và công suất khai thác từ 100.000 m3/năm trở lên,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Lệ phí : 20.000.000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Lệ phí : 20.000.000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các loại khoáng sản lộ thiên trừ các loại khoáng sản đã quy định tại điểm 1, 2, 3, 6, 7 của Biểu mức thu này) + Không sử dụng vật liệu nổ công nghiệp)</w:t>
            </w:r>
          </w:p>
        </w:tc>
        <w:tc>
          <w:p/>
          <w:p>
            <w:pPr>
              <w:spacing w:after="0" w:before="0" w:lineRule="auto" w:line="276"/>
              <w:jc w:val="left"/>
            </w:pPr>
            <w:r>
              <w:rPr>
                <w:rFonts w:ascii="Times New Roman" w:hAnsi="Times New Roman" w:cs="Times New Roman" w:eastAsia="Times New Roman"/>
                <w:b w:val="false"/>
                <w:sz w:val="26"/>
              </w:rPr>
              <w:t>Không quá 45 ngày làm việc (chưa thực hiện cắt giảm theo QĐ 1773/QĐ-UBND) 
- Thời hạn kiểm tra hồ sơ: không quá 03 ngày làm việc. 
- Thời hạn thẩm định hồ sơ: 
+ Trong thời gian không quá 05 ngày làm việc, kể từ ngày có văn bản tiếp nhận hồ sơ, Sở Nông nghiệp và Môi trường có trách nhiệm hoàn thành việc kiểm tra tọa độ, diện tích khu vực đề nghị chuyển nhượng. 
+ Trong thời hạn không quá 27 ngày làm việc, Sở Nông nghiệp và Môi trường phải hoàn thành việc thẩm định các tài liệu, hồ sơ và các nội dung khác có liên quan đến chuyển nhượng - Thời hạn giải quyết chuyển nhượng quyền khai thác khai thác khoáng sản: 
+ Trong thời hạn không quá 02 ngày làm việc, Sở Nông nghiệp và Môi trường có trách nhiệm hoàn chỉnh và trình hồ sơ cho Ủy ban nhân dân cấp tỉnh. 
+ Trong thời hạn không quá 05 ngày làm việc, kể từ ngày nhận được hồ sơ của Sở Nông nghiệp và Môi trường, Ủy ban nhân dân cấp tỉnh quyết định cho phép hoặc không cho phép chuyển nhượng. Trong trường hợp không cho phép chuyển nhượng thì phải trả lời bằng văn bản và nêu rõ lý do. 
- Thời hạn thông báo và trả kết quả hồ sơ: Trong thời gian không quá 03 ngày làm việc, kể từ ngày nhận được hồ sơ của cơ quan nhà nước có thẩm quyền cấp phép, cơ quan tiếp nhận hồ sơ thông báo cho tổ chức, cá nhân đề nghị chuyển nhượng quyền khai thác khoáng sản để nhận kết quả.</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40 Ngày làm việc</w:t>
            </w:r>
          </w:p>
        </w:tc>
        <w:tc>
          <w:p/>
          <w:p>
            <w:pPr>
              <w:spacing w:after="0" w:before="0" w:lineRule="auto" w:line="276"/>
              <w:jc w:val="left"/>
            </w:pPr>
            <w:r>
              <w:rPr>
                <w:rFonts w:ascii="Times New Roman" w:hAnsi="Times New Roman" w:cs="Times New Roman" w:eastAsia="Times New Roman"/>
                <w:b w:val="false"/>
                <w:sz w:val="26"/>
              </w:rPr>
              <w:t>Lệ phí : 500.000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cát, sỏi lòng suối Có công suất khai thác dưới 5.000 m3/năm)</w:t>
            </w:r>
          </w:p>
          <w:p>
            <w:pPr>
              <w:spacing w:after="0" w:before="0" w:lineRule="auto" w:line="276"/>
              <w:jc w:val="left"/>
            </w:pPr>
            <w:r>
              <w:rPr>
                <w:rFonts w:ascii="Times New Roman" w:hAnsi="Times New Roman" w:cs="Times New Roman" w:eastAsia="Times New Roman"/>
                <w:b w:val="false"/>
                <w:sz w:val="26"/>
              </w:rPr>
              <w:t>Lệ phí : 5.000.000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cát, sỏi lòng suối Có công suất khai thác từ 5.000 m3 đến 10.000 m3/năm)</w:t>
            </w:r>
          </w:p>
          <w:p>
            <w:pPr>
              <w:spacing w:after="0" w:before="0" w:lineRule="auto" w:line="276"/>
              <w:jc w:val="left"/>
            </w:pPr>
            <w:r>
              <w:rPr>
                <w:rFonts w:ascii="Times New Roman" w:hAnsi="Times New Roman" w:cs="Times New Roman" w:eastAsia="Times New Roman"/>
                <w:b w:val="false"/>
                <w:sz w:val="26"/>
              </w:rPr>
              <w:t>Lệ phí : 7.500.000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cát, sỏi lòng suối Có công suất khai thác trên 10.000 m3/năm)</w:t>
            </w:r>
          </w:p>
          <w:p>
            <w:pPr>
              <w:spacing w:after="0" w:before="0" w:lineRule="auto" w:line="276"/>
              <w:jc w:val="left"/>
            </w:pPr>
            <w:r>
              <w:rPr>
                <w:rFonts w:ascii="Times New Roman" w:hAnsi="Times New Roman" w:cs="Times New Roman" w:eastAsia="Times New Roman"/>
                <w:b w:val="false"/>
                <w:sz w:val="26"/>
              </w:rPr>
              <w:t>Lệ phí : 7.500.000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vật liệu xây dựng thông thường không sử dụng vật liệu nổ công nghiệp Giấy phép khai thác khoáng sản làm vật liệu xây dựng thông thường có diện tích dưới 10 ha và công suất khai thác dưới 100.000 m3/năm)</w:t>
            </w:r>
          </w:p>
          <w:p>
            <w:pPr>
              <w:spacing w:after="0" w:before="0" w:lineRule="auto" w:line="276"/>
              <w:jc w:val="left"/>
            </w:pPr>
            <w:r>
              <w:rPr>
                <w:rFonts w:ascii="Times New Roman" w:hAnsi="Times New Roman" w:cs="Times New Roman" w:eastAsia="Times New Roman"/>
                <w:b w:val="false"/>
                <w:sz w:val="26"/>
              </w:rPr>
              <w:t>Lệ phí : 10.000.000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vật liệu xây dựng thông thường không sử dụng vật liệu nổ công nghiệp Giấy phép khai thác khoáng sản làm vật liệu xây dựng thông thường có diện tích từ 10 ha trở lên và công suất khai thác dưới 100.000 m3/năm hoặc loại hoạt động khai thác khoáng sản làm vật liệu xây dựng thông thường có diện tích dưới 10 ha và công suất khai thác từ 100.000 m3/năm trở lên, than bùn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Lệ phí : 15.000.000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vật liệu xây dựng thông thường không sử dụng vật liệu nổ công nghiệp Giấy phép khai thác khoáng sản làm nguyên liệu xi măng; khoáng sản làm vật liệu xây dựng thông thường có diện tích từ 10 ha trở lên và công suất khai thác từ 100.000 m3/năm trở lên, trừ hoạt động khai thác cát, sỏi lòng suối quy định tại mục 1 của Biểu mức thu này)</w:t>
            </w:r>
          </w:p>
          <w:p>
            <w:pPr>
              <w:spacing w:after="0" w:before="0" w:lineRule="auto" w:line="276"/>
              <w:jc w:val="left"/>
            </w:pPr>
            <w:r>
              <w:rPr>
                <w:rFonts w:ascii="Times New Roman" w:hAnsi="Times New Roman" w:cs="Times New Roman" w:eastAsia="Times New Roman"/>
                <w:b w:val="false"/>
                <w:sz w:val="26"/>
              </w:rPr>
              <w:t>Lệ phí : 20.000.000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làm nguyên liệu xi măng; khoáng sản làm vật liệu xây dựng thông thường mà có sử dụng vật liệu nổ công nghiệp; đá ốp lát và nước khoáng)</w:t>
            </w:r>
          </w:p>
          <w:p>
            <w:pPr>
              <w:spacing w:after="0" w:before="0" w:lineRule="auto" w:line="276"/>
              <w:jc w:val="left"/>
            </w:pPr>
            <w:r>
              <w:rPr>
                <w:rFonts w:ascii="Times New Roman" w:hAnsi="Times New Roman" w:cs="Times New Roman" w:eastAsia="Times New Roman"/>
                <w:b w:val="false"/>
                <w:sz w:val="26"/>
              </w:rPr>
              <w:t>Lệ phí : 20.000.000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các loại khoáng sản lộ thiên trừ các loại khoáng sản đã quy định tại điểm 1, 2, 3, 6, 7 của Biểu mức thu này) + Không sử dụng vật liệu nổ công nghiệp)</w:t>
            </w:r>
          </w:p>
          <w:p>
            <w:pPr>
              <w:spacing w:after="0" w:before="0" w:lineRule="auto" w:line="276"/>
              <w:jc w:val="left"/>
            </w:pPr>
            <w:r>
              <w:rPr>
                <w:rFonts w:ascii="Times New Roman" w:hAnsi="Times New Roman" w:cs="Times New Roman" w:eastAsia="Times New Roman"/>
                <w:b w:val="false"/>
                <w:sz w:val="26"/>
              </w:rPr>
              <w:t>Lệ phí : 25.000.000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các loại khoáng sản lộ thiên trừ các loại khoáng sản đã quy định tại điểm 1, 2, 3, 6, 7 của Biểu mức thu này) Có sử dụng vật liệu nổ công nghiệp)</w:t>
            </w:r>
          </w:p>
          <w:p>
            <w:pPr>
              <w:spacing w:after="0" w:before="0" w:lineRule="auto" w:line="276"/>
              <w:jc w:val="left"/>
            </w:pPr>
            <w:r>
              <w:rPr>
                <w:rFonts w:ascii="Times New Roman" w:hAnsi="Times New Roman" w:cs="Times New Roman" w:eastAsia="Times New Roman"/>
                <w:b w:val="false"/>
                <w:sz w:val="26"/>
              </w:rPr>
              <w:t>Lệ phí : 30.000.000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các loại khoáng sản trong hầm lò trừ các loại khoáng sản đã quy định tại điểm 2, 3, 6 của Biểu mức thu này))</w:t>
            </w:r>
          </w:p>
          <w:p>
            <w:pPr>
              <w:spacing w:after="0" w:before="0" w:lineRule="auto" w:line="276"/>
              <w:jc w:val="left"/>
            </w:pPr>
            <w:r>
              <w:rPr>
                <w:rFonts w:ascii="Times New Roman" w:hAnsi="Times New Roman" w:cs="Times New Roman" w:eastAsia="Times New Roman"/>
                <w:b w:val="false"/>
                <w:sz w:val="26"/>
              </w:rPr>
              <w:t>Lệ phí : 40.000.000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quý hiếm)</w:t>
            </w:r>
          </w:p>
          <w:p>
            <w:pPr>
              <w:spacing w:after="0" w:before="0" w:lineRule="auto" w:line="276"/>
              <w:jc w:val="left"/>
            </w:pPr>
            <w:r>
              <w:rPr>
                <w:rFonts w:ascii="Times New Roman" w:hAnsi="Times New Roman" w:cs="Times New Roman" w:eastAsia="Times New Roman"/>
                <w:b w:val="false"/>
                <w:sz w:val="26"/>
              </w:rPr>
              <w:t>Lệ phí : 50.000.000 Đồng</w:t>
              <w:t xml:space="preserve"> (- Mức thu lệ phí cấp giấy phép hoạt động khoáng sản áp dụng theo quy định tại Thông tư số 191/2016/TT-BTC ngày 08 tháng 11 năm 2016 của Bộ trưởng Bộ Tài chính quy định mức thu, chế độ thu, nộp, quản lý và sử dụng phí thẩm định đánh giá trữ lượng khoáng sản và lệ phí cấp giấy phép hoạt động khoáng sản, cụ thể: + Nhóm Giấy phép khai thác khoáng sản: Giấy phép khai thác khoáng sản đặc biệt và độc hại)</w:t>
              <w:br/>
              <w:t>File đính kèm: Lệ phí cấp chuyển nhượng quyền khai thác khoáng sản.docx</w:t>
            </w:r>
          </w:p>
        </w:tc>
        <w:tc>
          <w:p/>
          <w:p>
            <w:pPr>
              <w:spacing w:after="0" w:before="0" w:lineRule="auto" w:line="276"/>
              <w:jc w:val="left"/>
            </w:pPr>
            <w:r>
              <w:rPr>
                <w:rFonts w:ascii="Times New Roman" w:hAnsi="Times New Roman" w:cs="Times New Roman" w:eastAsia="Times New Roman"/>
                <w:b w:val="false"/>
                <w:sz w:val="26"/>
              </w:rPr>
              <w:t>Không quá 45 ngày làm việc (chưa thực hiện cắt giảm theo QĐ 1773/QĐ-UBND) 
- Thời hạn kiểm tra hồ sơ: không quá 03 ngày làm việc. 
- Thời hạn thẩm định hồ sơ: 
+ Trong thời gian không quá 05 ngày làm việc, kể từ ngày có văn bản tiếp nhận hồ sơ, Sở Nông nghiệp và Môi trường có trách nhiệm hoàn thành việc kiểm tra tọa độ, diện tích khu vực đề nghị chuyển nhượng. 
+ Trong thời hạn không quá 27 ngày làm việc, Sở Nông nghiệp và Môi trường phải hoàn thành việc thẩm định các tài liệu, hồ sơ và các nội dung khác có liên quan đến chuyển nhượng - Thời hạn giải quyết chuyển nhượng quyền khai thác khai thác khoáng sản: 
+ Trong thời hạn không quá 02 ngày làm việc, Sở Nông nghiệp và Môi trường có trách nhiệm hoàn chỉnh và trình hồ sơ cho Ủy ban nhân dân cấp tỉnh. 
+ Trong thời hạn không quá 05 ngày làm việc, kể từ ngày nhận được hồ sơ của Sở Nông nghiệp và Môi trường, Ủy ban nhân dân cấp tỉnh quyết định cho phép hoặc không cho phép chuyển nhượng. Trong trường hợp không cho phép chuyển nhượng thì phải trả lời bằng văn bản và nêu rõ lý do. 
- Thời hạn thông báo và trả kết quả hồ sơ: Trong thời gian không quá 03 ngày làm việc, kể từ ngày nhận được hồ sơ của cơ quan nhà nước có thẩm quyền cấp phép, cơ quan tiếp nhận hồ sơ thông báo cho tổ chức, cá nhân đề nghị chuyển nhượng quyền khai thác khoáng sản để nhận kết quả.</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chuyển nhượng quyền khai thác khoáng sản</w:t>
            </w:r>
          </w:p>
        </w:tc>
        <w:tc>
          <w:p/>
          <w:p>
            <w:pPr>
              <w:spacing w:after="0" w:before="0" w:lineRule="auto" w:line="276"/>
              <w:jc w:val="left"/>
            </w:pPr>
            <w:r>
              <w:rPr>
                <w:rFonts w:ascii="Times New Roman" w:hAnsi="Times New Roman" w:cs="Times New Roman" w:eastAsia="Times New Roman"/>
                <w:b w:val="false"/>
                <w:sz w:val="26"/>
              </w:rPr>
              <w:t>Mauso10_Dondenghichuyennhuongquyenkhaithackhoangsan.doc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hợp đồng chuyển nhượng quyền khai thác khoáng sản, kèm theo bản kê giá trị tài sản chuyển nhượng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đồ hiện trạng khai thác mỏ tại thời điểm đề nghị chuyển nhượng</w:t>
            </w:r>
          </w:p>
        </w:tc>
        <w:tc>
          <w:p/>
          <w:p>
            <w:pPr>
              <w:spacing w:after="0" w:before="0" w:lineRule="auto" w:line="276"/>
              <w:jc w:val="left"/>
            </w:pPr>
            <w:r>
              <w:rPr>
                <w:rFonts w:ascii="Times New Roman" w:hAnsi="Times New Roman" w:cs="Times New Roman" w:eastAsia="Times New Roman"/>
                <w:b w:val="false"/>
                <w:sz w:val="26"/>
              </w:rPr>
              <w:t>Mauso24-Phuluc2_Bandokhuvckhaithackhoangsan.doc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khai thác khoáng sản đến thời điểm đề nghị chuyển nhượng quyền khai thác khoáng sản.</w:t>
            </w:r>
          </w:p>
        </w:tc>
        <w:tc>
          <w:p/>
          <w:p>
            <w:pPr>
              <w:spacing w:after="0" w:before="0" w:lineRule="auto" w:line="276"/>
              <w:jc w:val="left"/>
            </w:pPr>
            <w:r>
              <w:rPr>
                <w:rFonts w:ascii="Times New Roman" w:hAnsi="Times New Roman" w:cs="Times New Roman" w:eastAsia="Times New Roman"/>
                <w:b w:val="false"/>
                <w:sz w:val="26"/>
              </w:rPr>
              <w:t>Mauso43_Baocaohoatdongkhaithackhoangsanvakehoachtieptuckhaithac.doc</w:t>
            </w:r>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hoặc bản sao có chứng thực hoặc bản sao kèm theo bản chính để đối chiếu hoặc bản sao điện tử có chứng thực từ bản chính: Các văn bản chứng minh đã thực hiện nghĩa vụ quy định tại các điểm a, b, c, đ và g khoản 2 Điều 55 Luật Khoáng sản tính đến thời điểm chuyển nhượng của tổ chức, cá nhân chuyển nhượng,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Nộp tiền cấp quyền khai thác khoáng sản, lệ phí cấp Giấy phép khai thác khoáng sản, thuế, phí và thực hiện các nghĩa vụ về tài chính khác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Bảo đảm tiến độ xây dựng cơ bản mỏ và hoạt động khai thác xác định trong dự án đầu tư khai thác khoáng sản, thiết kế mỏ.</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Đăng ký ngày bắt đầu xây dựng cơ bản mỏ, ngày bắt đầu khai thác với cơ quan quản lý nhà nước có thẩm quyền cấp giấy phép và thông báo cho Ủy ban nhân dân các cấp nơi có mỏ trước khi thực hiện.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Thu thập, lưu giữ thông tin về kết quả khai thác nâng cấp trữ lượng khoáng sản và khai thác khoáng sản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Bồi thường thiệt hại do hoạt động khai thác khoáng sản gây ra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sao kèm theo bản chính để đối chiếu hoặc bản sao điện tử có chứng thực từ bản chính của Giấy đăng ký đầu tư hoặc Giấy chứng nhận đăng ký đầu tư (đối với trường hợp tổ chức, cá nhân nhận chuyển nhượng là doanh nghiệp có yếu tố nước ngoài)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Nông nghiệp và Môi trường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tỉnh Lâm Đồng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số 36 Trần Phú, Đà Lạt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khai thác khoáng sản (chuyển nhượng) thuộc thẩm quyền cấp của 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60/2010/QH12</w:t>
            </w:r>
          </w:p>
        </w:tc>
        <w:tc>
          <w:p/>
          <w:p>
            <w:pPr>
              <w:spacing w:after="0" w:before="0" w:lineRule="auto" w:line="276"/>
              <w:jc w:val="left"/>
            </w:pPr>
            <w:r>
              <w:rPr>
                <w:rFonts w:ascii="Times New Roman" w:hAnsi="Times New Roman" w:cs="Times New Roman" w:eastAsia="Times New Roman"/>
                <w:b w:val="false"/>
                <w:sz w:val="26"/>
              </w:rPr>
              <w:t>Luật 60/2010/QH12</w:t>
            </w:r>
          </w:p>
        </w:tc>
        <w:tc>
          <w:p/>
          <w:p>
            <w:pPr>
              <w:spacing w:after="0" w:before="0" w:lineRule="auto" w:line="276"/>
              <w:jc w:val="left"/>
            </w:pPr>
            <w:r>
              <w:rPr>
                <w:rFonts w:ascii="Times New Roman" w:hAnsi="Times New Roman" w:cs="Times New Roman" w:eastAsia="Times New Roman"/>
                <w:b w:val="false"/>
                <w:sz w:val="26"/>
              </w:rPr>
              <w:t>17-11-2010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191/2016/TT-BTC</w:t>
            </w:r>
          </w:p>
        </w:tc>
        <w:tc>
          <w:p/>
          <w:p>
            <w:pPr>
              <w:spacing w:after="0" w:before="0" w:lineRule="auto" w:line="276"/>
              <w:jc w:val="left"/>
            </w:pPr>
            <w:r>
              <w:rPr>
                <w:rFonts w:ascii="Times New Roman" w:hAnsi="Times New Roman" w:cs="Times New Roman" w:eastAsia="Times New Roman"/>
                <w:b w:val="false"/>
                <w:sz w:val="26"/>
              </w:rPr>
              <w:t>Thông tư 191/2016/TT-BTC</w:t>
            </w:r>
          </w:p>
        </w:tc>
        <w:tc>
          <w:p/>
          <w:p>
            <w:pPr>
              <w:spacing w:after="0" w:before="0" w:lineRule="auto" w:line="276"/>
              <w:jc w:val="left"/>
            </w:pPr>
            <w:r>
              <w:rPr>
                <w:rFonts w:ascii="Times New Roman" w:hAnsi="Times New Roman" w:cs="Times New Roman" w:eastAsia="Times New Roman"/>
                <w:b w:val="false"/>
                <w:sz w:val="26"/>
              </w:rPr>
              <w:t>08-11-2016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158/2016/NĐ-CP</w:t>
            </w:r>
          </w:p>
        </w:tc>
        <w:tc>
          <w:p/>
          <w:p>
            <w:pPr>
              <w:spacing w:after="0" w:before="0" w:lineRule="auto" w:line="276"/>
              <w:jc w:val="left"/>
            </w:pPr>
            <w:r>
              <w:rPr>
                <w:rFonts w:ascii="Times New Roman" w:hAnsi="Times New Roman" w:cs="Times New Roman" w:eastAsia="Times New Roman"/>
                <w:b w:val="false"/>
                <w:sz w:val="26"/>
              </w:rPr>
              <w:t>Nghị định 158/2016/NĐ-CP</w:t>
            </w:r>
          </w:p>
        </w:tc>
        <w:tc>
          <w:p/>
          <w:p>
            <w:pPr>
              <w:spacing w:after="0" w:before="0" w:lineRule="auto" w:line="276"/>
              <w:jc w:val="left"/>
            </w:pPr>
            <w:r>
              <w:rPr>
                <w:rFonts w:ascii="Times New Roman" w:hAnsi="Times New Roman" w:cs="Times New Roman" w:eastAsia="Times New Roman"/>
                <w:b w:val="false"/>
                <w:sz w:val="26"/>
              </w:rPr>
              <w:t>29-11-2016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45/2016/TT-BTNMT</w:t>
            </w:r>
          </w:p>
        </w:tc>
        <w:tc>
          <w:p/>
          <w:p>
            <w:pPr>
              <w:spacing w:after="0" w:before="0" w:lineRule="auto" w:line="276"/>
              <w:jc w:val="left"/>
            </w:pPr>
            <w:r>
              <w:rPr>
                <w:rFonts w:ascii="Times New Roman" w:hAnsi="Times New Roman" w:cs="Times New Roman" w:eastAsia="Times New Roman"/>
                <w:b w:val="false"/>
                <w:sz w:val="26"/>
              </w:rPr>
              <w:t>Thông tư 45/2016/TT-BTNMT</w:t>
            </w:r>
          </w:p>
        </w:tc>
        <w:tc>
          <w:p/>
          <w:p>
            <w:pPr>
              <w:spacing w:after="0" w:before="0" w:lineRule="auto" w:line="276"/>
              <w:jc w:val="left"/>
            </w:pPr>
            <w:r>
              <w:rPr>
                <w:rFonts w:ascii="Times New Roman" w:hAnsi="Times New Roman" w:cs="Times New Roman" w:eastAsia="Times New Roman"/>
                <w:b w:val="false"/>
                <w:sz w:val="26"/>
              </w:rPr>
              <w:t>26-12-2016</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22/2023/NĐ-CP</w:t>
            </w:r>
          </w:p>
        </w:tc>
        <w:tc>
          <w:p/>
          <w:p>
            <w:pPr>
              <w:spacing w:after="0" w:before="0" w:lineRule="auto" w:line="276"/>
              <w:jc w:val="left"/>
            </w:pPr>
            <w:r>
              <w:rPr>
                <w:rFonts w:ascii="Times New Roman" w:hAnsi="Times New Roman" w:cs="Times New Roman" w:eastAsia="Times New Roman"/>
                <w:b w:val="false"/>
                <w:sz w:val="26"/>
              </w:rPr>
              <w:t>Nghị định số 22/2023/NĐ-CP ngày 12 tháng 5 năm 2023 của Chính phủ sửa đổi, bổ sung một số điều của các nghị định liên quan đến hoạt động kinh doanh trong lĩnh vực tài nguyên và môi trường</w:t>
            </w:r>
          </w:p>
        </w:tc>
        <w:tc>
          <w:p/>
          <w:p>
            <w:pPr>
              <w:spacing w:after="0" w:before="0" w:lineRule="auto" w:line="276"/>
              <w:jc w:val="left"/>
            </w:pPr>
            <w:r>
              <w:rPr>
                <w:rFonts w:ascii="Times New Roman" w:hAnsi="Times New Roman" w:cs="Times New Roman" w:eastAsia="Times New Roman"/>
                <w:b w:val="false"/>
                <w:sz w:val="26"/>
              </w:rPr>
              <w:t>12-05-2023</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chức, cá nhân nhận chuyển nhượng đủ điều kiện quy định tại khoản 1 Điều 51 và khoản 2 Điều 53 Luật khoáng sản, bao gồm:
+ Có đăng ký kinh doanh ngành nghề khai thác khoáng sản bao gồm: Doanh nghiệp được thành lập theo Luật doanh nghiệp; Hợp tác xã, liên hiệp hợp tác xã được thành lập theo Luật hợp tác xã.
+ Có dự án đầu tư khai thác khoáng sản ở khu vực đã khai thác, phê duyệt trữ lượng phù hợp với quy hoạch quy định tại các điểm b, c và d khoản 1 Điều 10 của Luật khoáng sản. Dự án đầu tư khai thác khoáng sản phải có phương án sử dụng nhân lực chuyên ngành, thiết bị, công nghệ, phương pháp khai thác tiên tiến phù hợp; đối với khoáng sản độc hại còn phải được Thủ tướng Chính phủ cho phép bằng văn bản;
+ Có báo cáo đánh giá tác động môi trường hoặc bản cam kết bảo vệ môi trường theo quy định của pháp luật về bảo vệ môi trường;
+ Có vốn chủ sở hữu ít nhất bằng 30% tổng số vốn đầu tư của dự án đầu tư khai thác khoáng sản.
- Tính đến thời điểm chuyển nhượng, tổ chức, cá nhân được phép khai thác khoáng sản đã hoàn thành công việc quy định tại khoản 1 Điều 66 và các nghĩa vụ quy định tại các điểm a, b, c, d, e và g khoản 2 Điều 55 Luật khoáng sản, bao gồm:
+ Đã hoàn thành công tác xây dựng cơ bản, đưa mỏ vào khai thác;
+ Nộp tiền cấp quyền khai thác khoáng sản, lệ phí cấp Giấy phép khai thác khoáng sản, thuế, phí và thực hiện các nghĩa vụ về tài chính khác theo quy định của pháp luật;
+ Bảo đảm tiến độ xây dựng cơ bản mỏ và hoạt động khai thác xác định trong dự án đầu tư khai thác khoáng sản, thiết kế mỏ;
+ Đăng ký ngày bắt đầu xây dựng cơ bản mỏ, ngày bắt đầu khai thác với cơ quan quản lý nhà nước có thẩm quyền cấp giấy phép và thông báo cho Ủy ban nhân dân các cấp nơi có mỏ trước khi thực hiện;
+ Khai thác tối đa khoáng sản chính, khoáng sản đi kèm; bảo vệ tài nguyên khoáng sản; thực hiện an toàn lao động, vệ sinh lao động và các biện pháp bảo vệ môi trường;
+ Báo cáo kết quả khai thác khoáng sản cho cơ quan quản lý nhà nước có thẩm quyền theo quy định của Bộ Nông nghiệp và Môi trường;
+ Bồi thường thiệt hại do hoạt động khai thác khoáng sản gây ra;
- Khu vực được phép khai thác không có tranh chấp về quyền và nghĩa vụ liên quan đến hoạt động khoáng sản.
- Tổ chức, cá nhân đề nghị chuyển nhượng đã nộp đủ hồ sơ cho cơ quan tiếp nhận hồ sơ khi Giấy phép khi thác khoáng sản còn hiệu lực ít nhất là 90 ngày.</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2026-05-26T17:49:24Z</dcterms:created>
  <dc:creator>Apache POI</dc:creator>
</cp:coreProperties>
</file>