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tạm xuất, tái nhập và hàng hóa tạm nhập, tái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khai hải quan thực hiện việc mở tờ khai hải quan đối với hàng hóa tạm xuất, tái nhập và hàng hóa tạm nhập, tái xuất.
● Khai đầy đủ các thông tin trên tờ khai hải quan theo các chỉ tiêu thông tin quy định và gửi các chứng từ thuộc hồ sơ hải quan quy định cho cơ quan hải quan thông qua Hệ thống xử lý dữ liệu điện tử hải quan hoặc thực hiện khai tờ khai hải quan giấy trong các trường hợp quy định tại khoản 12 Điều 1 Nghị định số 167/2025/NĐ-CP ngày 30/6/2025.
● Xuất trình hồ sơ hải quan và hàng hóa để kiểm tra theo quyết định của cơ quan hải quan.
● Khai bổ sung, hủy tờ khai (nếu có).
● Thực hiện các quyết định của cơ quan hải quan.</w:t>
      </w:r>
    </w:p>
    <w:p>
      <w:pPr>
        <w:spacing w:after="0" w:before="0" w:lineRule="auto" w:line="276"/>
        <w:jc w:val="both"/>
      </w:pPr>
      <w:r>
        <w:rPr>
          <w:rFonts w:ascii="Times New Roman" w:hAnsi="Times New Roman" w:cs="Times New Roman" w:eastAsia="Times New Roman"/>
          <w:b w:val="false"/>
          <w:sz w:val="26"/>
        </w:rPr>
        <w:t>- Bước 2: Cơ quan hải quan thực hiện làm thủ tục hải quan đối với hàng hóa nhập khẩu theo quy định:
● Tiếp nhận và kiểm tra hồ sơ hải quan, kiểm tra thực tế hàng hóa.
● Thực hiện thông quan cho tờ khai hàng hoá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20.000 Đồng</w:t>
              <w:t xml:space="preserve"> (đối với 1 tờ khai)</w:t>
            </w:r>
          </w:p>
        </w:tc>
        <w:tc>
          <w:p/>
          <w:p>
            <w:pPr>
              <w:spacing w:after="0" w:before="0" w:lineRule="auto" w:line="276"/>
              <w:jc w:val="left"/>
            </w:pPr>
            <w:r>
              <w:rPr>
                <w:rFonts w:ascii="Times New Roman" w:hAnsi="Times New Roman" w:cs="Times New Roman" w:eastAsia="Times New Roman"/>
                <w:b w:val="false"/>
                <w:sz w:val="26"/>
              </w:rPr>
              <w:t>- Cơ quan hải quan tiếp nhận, đăng ký, kiểm tra hồ sơ hải quan ngay sau khi người khai hải quan nộp, xuất trình hồ sơ hải quan theo quy định của Luật này.
- Sau khi người khai hải quan thực hiện đầy đủ các yêu cầu để làm thủ tục hải quan quy định tại điểm a và điểm b khoản 1 Điều 21 của Luật Hải quan, thời hạn công chức hải quan hoàn thành kiểm tra hồ sơ và kiểm tra thực tế hàng hóa, phương tiện vận tải được quy định như sau:
•	Hoàn thành việc kiểm tra hồ sơ chậm nhất là 02 giờ làm việc kể từ thời điểm cơ quan hải quan tiếp nhận đầy đủ hồ sơ hải quan;
•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 Cơ quan hải quan thực hiện thủ tục hải quan đối với hàng hóa vào ngày lễ, ngày nghỉ và ngoài giờ làm việc để bảo đảm kịp thời việc xếp dỡ hàng hóa xuất khẩu, nhập khẩu, việc xuất cảnh, nhập cảnh của hành khách, phương tiện vận tải hoặc trên cơ sở đề nghị của người khai hải quan và phù hợp với điều kiện thực tế của địa bàn hoạt động hải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20.000 Đồng</w:t>
              <w:t xml:space="preserve"> (đối với 1 tờ khai)</w:t>
            </w:r>
          </w:p>
        </w:tc>
        <w:tc>
          <w:p/>
          <w:p>
            <w:pPr>
              <w:spacing w:after="0" w:before="0" w:lineRule="auto" w:line="276"/>
              <w:jc w:val="left"/>
            </w:pPr>
            <w:r>
              <w:rPr>
                <w:rFonts w:ascii="Times New Roman" w:hAnsi="Times New Roman" w:cs="Times New Roman" w:eastAsia="Times New Roman"/>
                <w:b w:val="false"/>
                <w:sz w:val="26"/>
              </w:rPr>
              <w:t>- Cơ quan hải quan tiếp nhận, đăng ký, kiểm tra hồ sơ hải quan ngay sau khi người khai hải quan nộp, xuất trình hồ sơ hải quan theo quy định của Luật này.
- Sau khi người khai hải quan thực hiện đầy đủ các yêu cầu để làm thủ tục hải quan quy định tại điểm a và điểm b khoản 1 Điều 21 của Luật Hải quan, thời hạn công chức hải quan hoàn thành kiểm tra hồ sơ và kiểm tra thực tế hàng hóa, phương tiện vận tải được quy định như sau:
•	Hoàn thành việc kiểm tra hồ sơ chậm nhất là 02 giờ làm việc kể từ thời điểm cơ quan hải quan tiếp nhận đầy đủ hồ sơ hải quan;
•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 Cơ quan hải quan thực hiện thủ tục hải quan đối với hàng hóa vào ngày lễ, ngày nghỉ và ngoài giờ làm việc để bảo đảm kịp thời việc xếp dỡ hàng hóa xuất khẩu, nhập khẩu, việc xuất cảnh, nhập cảnh của hành khách, phương tiện vận tải hoặc trên cơ sở đề nghị của người khai hải quan và phù hợp với điều kiện thực tế của địa bàn hoạt động hải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hàng hóa tạm nhập, tái xuất: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hàng hóa tạm nhập thì nộp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vận tải trong trường hợp hàng hóa vận chuyển bằng đường biển, đường hàng không, đường sắt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tạm nhập, tái xuất theo quy định của pháp luật; văn bản thông báo kết quả kiểm tra chuyên ngành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cung ứng dịch vụ sửa chữa, bảo dưỡng tàu biển, tàu bay đối với trường hợp quy định tại điểm b khoản 1 Điều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có xác nhận của cơ quan có thẩm quyền về tổ chức hoặc tham dự hội chợ, triển lãm (trừ tạm nhập, tái xuất để giới thiệu sản phẩm) đối với trường hợp quy định tại điểm d khoản 1 Điều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tham gia các công việc đối với trường hợp quy định tại điểm đ khoản 1 Điều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hàng hóa tạm xuất, tái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hàng hóa tạm xuất thì nộp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tạm xuất, tái nhập theo quy định của pháp luật; văn bản thông báo kết quả kiểm tra chuyên ngành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có xác nhận của cơ quan có thẩm quyền về tổ chức hoặc tham dự hội chợ, triển lãm (trừ tạm xuất, tái nhập để giới thiệu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hàng hóa tái nhập thì nộp bổ sung chứng từ vận tải trong trường hợp hàng hóa vận chuyển bằng đường biển, đường hàng không, đường sắt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Hải quan cửa khẩu, Hải quan ngoài cửa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14/2021/TT-BTC</w:t>
            </w:r>
          </w:p>
        </w:tc>
        <w:tc>
          <w:p/>
          <w:p>
            <w:pPr>
              <w:spacing w:after="0" w:before="0" w:lineRule="auto" w:line="276"/>
              <w:jc w:val="left"/>
            </w:pPr>
            <w:r>
              <w:rPr>
                <w:rFonts w:ascii="Times New Roman" w:hAnsi="Times New Roman" w:cs="Times New Roman" w:eastAsia="Times New Roman"/>
                <w:b w:val="false"/>
                <w:sz w:val="26"/>
              </w:rPr>
              <w:t>Thông tư 14/2021/TT-BTC</w:t>
            </w:r>
          </w:p>
        </w:tc>
        <w:tc>
          <w:p/>
          <w:p>
            <w:pPr>
              <w:spacing w:after="0" w:before="0" w:lineRule="auto" w:line="276"/>
              <w:jc w:val="left"/>
            </w:pPr>
            <w:r>
              <w:rPr>
                <w:rFonts w:ascii="Times New Roman" w:hAnsi="Times New Roman" w:cs="Times New Roman" w:eastAsia="Times New Roman"/>
                <w:b w:val="false"/>
                <w:sz w:val="26"/>
              </w:rPr>
              <w:t>18-02-2021</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Hàng hoá tạm nhập hoặc tạm xuất phải là phương tiện chứa hàng hoá xuất khẩu, nhập khẩu. Trường hợp phương tiện chứa hàng được mua bán, thuê mua tài chính phải thực hiện thủ tục hải quan theo loại hình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2026-05-19T12:37:15Z</dcterms:created>
  <dc:creator>Apache POI</dc:creator>
</cp:coreProperties>
</file>