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1.005319.000.00.00.H42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thú 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đăng ký cấp lại Chứng chỉ hành nghề thú y do sai sót hoặc thay đổi thông tin, gửi hồ sơ đến Cơ quan được Chủ tịch Ủy ban nhân dân cấp tỉnh giao giải quyết thủ tục hành chính trong lĩnh vực chăn nuôi và thú y
Bước 2: Trong thời hạn 03 (ba) ngày làm việc kể từ ngày nhận được hồ sơ đầy đủ, hợp lệ, Cơ quan được Chủ tịch Ủy ban nhân dân cấp tỉnh giao giải quyết thủ tục hành chính trong lĩnh vực chăn nuôi và thú y xem xét, quyết định cấp lại Chứng chỉ hành nghề thú y. Trường hợp không cấp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(+ 50.000 đồng /CCHN (theo quy định tại Thông tư số 101/2020/TT-BTC ngày 23/11/2020 của Bộ Tài chính quy định mức thu, chế độ thu, nộp, quản lý phí, lệ phí trong công tác thú y) + 25.000 đồng /CCHN (áp dụng từ kể từ ngày 01 tháng 7 năm 2025 đến hết  ngày 31 tháng 12 năm 2026 theo quy định tại Thông tư 64/2025/TT-BTC ngày 30/6/2025 của Bộ trưởng Bộ Tài chính))</w:t>
              <w:br/>
              <w:t>File đính kèm: 2018_689 + 690_44-2018-TT-BTC..pdf</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(+ 50.000 đồng /CCHN (theo quy định tại Thông tư số 101/2020/TT-BTC ngày 23/11/2020 của Bộ Tài chính quy định mức thu, chế độ thu, nộp, quản lý phí, lệ phí trong công tác thú y) + 25.000 đồng /CCHN (áp dụng từ kể từ ngày 01 tháng 7 năm 2025 đến hết  ngày 31 tháng 12 năm 2026 theo quy định tại Thông tư 64/2025/TT-BTC ngày 30/6/2025 của Bộ trưởng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(+ 50.000 đồng /CCHN (theo quy định tại Thông tư số 101/2020/TT-BTC ngày 23/11/2020 của Bộ Tài chính quy định mức thu, chế độ thu, nộp, quản lý phí, lệ phí trong công tác thú y) + 25.000 đồng /CCHN (áp dụng từ kể từ ngày 01 tháng 7 năm 2025 đến hết  ngày 31 tháng 12 năm 2026 theo quy định tại Thông tư 64/2025/TT-BTC ngày 30/6/2025 của Bộ trưởng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cấp lại.</w:t>
            </w:r>
          </w:p>
        </w:tc>
        <w:tc>
          <w:p/>
          <w:p>
            <w:pPr>
              <w:spacing w:after="0" w:before="0" w:lineRule="auto" w:line="276"/>
              <w:jc w:val="left"/>
            </w:pPr>
            <w:r>
              <w:rPr>
                <w:rFonts w:ascii="Times New Roman" w:hAnsi="Times New Roman" w:cs="Times New Roman" w:eastAsia="Times New Roman"/>
                <w:b w:val="false"/>
                <w:sz w:val="26"/>
              </w:rPr>
              <w:t>03.HNTY.docx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Chăn nuôi và thú y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Chăn nuôi và thú y -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thú y (trường hợp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35/2016/NĐ-CP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thú y</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r>
        <w:tc>
          <w:p/>
          <w:p>
            <w:pPr>
              <w:spacing w:after="0" w:before="0" w:lineRule="auto" w:line="276"/>
              <w:jc w:val="left"/>
            </w:pPr>
            <w:r>
              <w:rPr>
                <w:rFonts w:ascii="Times New Roman" w:hAnsi="Times New Roman" w:cs="Times New Roman" w:eastAsia="Times New Roman"/>
                <w:b w:val="false"/>
                <w:sz w:val="26"/>
              </w:rPr>
              <w:t>số 32/2026/NĐ-CP</w:t>
            </w:r>
          </w:p>
        </w:tc>
        <w:tc>
          <w:p/>
          <w:p>
            <w:pPr>
              <w:spacing w:after="0" w:before="0" w:lineRule="auto" w:line="276"/>
              <w:jc w:val="left"/>
            </w:pPr>
            <w:r>
              <w:rPr>
                <w:rFonts w:ascii="Times New Roman" w:hAnsi="Times New Roman" w:cs="Times New Roman" w:eastAsia="Times New Roman"/>
                <w:b w:val="false"/>
                <w:sz w:val="26"/>
              </w:rPr>
              <w:t>Nghị định số 32/2026/NĐ-CP ngày 21 tháng 01 năm 2026 của Chính phủ sửa đổi, bổ sung một số điều của các Nghị định trong lĩnh vực chăn nuôi và thú y.</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2026-05-23T16:23:53Z</dcterms:created>
  <dc:creator>Apache POI</dc:creator>
</cp:coreProperties>
</file>