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cán bộ quân đội nghỉ hưu mắc bệnh hiểm nghèo (thay thế)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Cán bộ nghỉ hưu hoặc thân nhân nộp các giấy tờ theo quy định cho Ban Chỉ huy quân sự xã, phường (cấp xã) nơi đối tượng cư trú.</w:t>
      </w:r>
    </w:p>
    <w:p>
      <w:pPr>
        <w:spacing w:after="0" w:before="0" w:lineRule="auto" w:line="276"/>
        <w:jc w:val="both"/>
      </w:pPr>
      <w:r>
        <w:rPr>
          <w:rFonts w:ascii="Times New Roman" w:hAnsi="Times New Roman" w:cs="Times New Roman" w:eastAsia="Times New Roman"/>
          <w:b w:val="false"/>
          <w:sz w:val="26"/>
        </w:rPr>
        <w:t>Bước 2: Ban Chỉ huy quân sự cấp xã tiếp nhận các giấy tờ của đối tượng và chuyển Ban Chỉ huy quân sự cấp huyện.</w:t>
      </w:r>
    </w:p>
    <w:p>
      <w:pPr>
        <w:spacing w:after="0" w:before="0" w:lineRule="auto" w:line="276"/>
        <w:jc w:val="both"/>
      </w:pPr>
      <w:r>
        <w:rPr>
          <w:rFonts w:ascii="Times New Roman" w:hAnsi="Times New Roman" w:cs="Times New Roman" w:eastAsia="Times New Roman"/>
          <w:b w:val="false"/>
          <w:sz w:val="26"/>
        </w:rPr>
        <w:t>Bước 3: Ban Chỉ huy quân sự cấp huyện tiếp nhận, kiểm tra tình trạng bệnh tật trên hồ sơ theo quy định; lập danh sách đối tượng (kèm hồ sơ) báo cáo Bộ Chỉ huy quân sự cấp tỉnh.</w:t>
      </w:r>
    </w:p>
    <w:p>
      <w:pPr>
        <w:spacing w:after="0" w:before="0" w:lineRule="auto" w:line="276"/>
        <w:jc w:val="both"/>
      </w:pPr>
      <w:r>
        <w:rPr>
          <w:rFonts w:ascii="Times New Roman" w:hAnsi="Times New Roman" w:cs="Times New Roman" w:eastAsia="Times New Roman"/>
          <w:b w:val="false"/>
          <w:sz w:val="26"/>
        </w:rPr>
        <w:t>Bước 4: Bộ Chỉ huy quân sự cấp tỉnh tiếp nhận hồ sơ, danh sách; kiểm tra, thẩm định, tổ chức giám định, ra quyết định công nhận cán bộ Quân đội nghỉ hưu mắc bệnh hiểm nghèo.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Ban Chỉ huy quân sự cấp xã: 02 ngày làm việc kể từ khi nhận đủ hồ sơ của đối tượng
theo quy định,
- Ban Chỉ huy quân sự cấp huyện: 03 ngày làm việc kể từ khi nhận đủ hồ sơ của Ban
Chỉ huy quân sự cấp xã,
- Bộ Chỉ huy quân sự cấp tỉnh: 07 ngày làm việc kể từ khi nhận đủ hồ sơ của Ban Chỉ
huy quân sự cấp huyện.
Cách thức thực hiện: Đối tượng (hoặc thân nhân) nộp hồ sơ trực tiếp tại Ban Chỉ huy quân sự cấp xã nơi đăng ký hộ khẩu thường trú của đối tuợng.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Ban Chỉ huy quân sự cấp xã: 02 ngày làm việc kể từ khi nhận đủ hồ sơ của đối tượng
theo quy định,
- Ban Chỉ huy quân sự cấp huyện: 03 ngày làm việc kể từ khi nhận đủ hồ sơ của Ban
Chỉ huy quân sự cấp xã,
- Bộ Chỉ huy quân sự cấp tỉnh: 07 ngày làm việc kể từ khi nhận đủ hồ sơ của Ban Chỉ
huy quân sự cấp huyện.
Cách thức thực hiện: Đối tượng (hoặc thân nhân) nộp hồ sơ trực tiếp tại Ban Chỉ huy quân sự cấp xã nơi đăng ký hộ khẩu thường trú của đối tuợng.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xét hưởng chế độ hiểm nghèo (01 bản);</w:t>
            </w:r>
          </w:p>
        </w:tc>
        <w:tc>
          <w:p/>
          <w:p>
            <w:pPr>
              <w:spacing w:after="0" w:before="0" w:lineRule="auto" w:line="276"/>
              <w:jc w:val="left"/>
            </w:pPr>
            <w:r>
              <w:rPr>
                <w:rFonts w:ascii="Times New Roman" w:hAnsi="Times New Roman" w:cs="Times New Roman" w:eastAsia="Times New Roman"/>
                <w:b w:val="false"/>
                <w:sz w:val="26"/>
              </w:rPr>
              <w:t>Mẫu số 012024BHN.doc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giấy tờ liên quan điều trị bệnh hiểm nghèo, gồm: Bản sao bệnh án hoặc một trong các giấy tờ khác như: sổ sức khoẻ, các xét nghiệm (01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nghỉ hưu hoặc phiếu đăng ký cán bộ quân đội nghỉ hưu (01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chỉ huy quân sự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chỉ huy quân sự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Ban chỉ huy quân sự cấp huyện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cán bộ quân đội nghỉ hưu mắc bệnh hiểm nghèo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158/2011/TT</w:t>
            </w:r>
          </w:p>
        </w:tc>
        <w:tc>
          <w:p/>
          <w:p>
            <w:pPr>
              <w:spacing w:after="0" w:before="0" w:lineRule="auto" w:line="276"/>
              <w:jc w:val="left"/>
            </w:pPr>
            <w:r>
              <w:rPr>
                <w:rFonts w:ascii="Times New Roman" w:hAnsi="Times New Roman" w:cs="Times New Roman" w:eastAsia="Times New Roman"/>
                <w:b w:val="false"/>
                <w:sz w:val="26"/>
              </w:rPr>
              <w:t>THỰC HIỆN CHẾ ĐỘ, CHÍNH SÁCH GÓP PHẦN CHĂM SÓC ĐỐI VỚI CÁN BỘ QUÂN ĐỘI NGHỈ HƯU DO BỘ TRƯỞNG BỘ QUỐC PHÒNG BAN HÀNH</w:t>
            </w:r>
          </w:p>
        </w:tc>
        <w:tc>
          <w:p/>
          <w:p>
            <w:pPr>
              <w:spacing w:after="0" w:before="0" w:lineRule="auto" w:line="276"/>
              <w:jc w:val="left"/>
            </w:pPr>
            <w:r>
              <w:rPr>
                <w:rFonts w:ascii="Times New Roman" w:hAnsi="Times New Roman" w:cs="Times New Roman" w:eastAsia="Times New Roman"/>
                <w:b w:val="false"/>
                <w:sz w:val="26"/>
              </w:rPr>
              <w:t>15-08-2011</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13/2024/TT-BQP</w:t>
            </w:r>
          </w:p>
        </w:tc>
        <w:tc>
          <w:p/>
          <w:p>
            <w:pPr>
              <w:spacing w:after="0" w:before="0" w:lineRule="auto" w:line="276"/>
              <w:jc w:val="left"/>
            </w:pPr>
            <w:r>
              <w:rPr>
                <w:rFonts w:ascii="Times New Roman" w:hAnsi="Times New Roman" w:cs="Times New Roman" w:eastAsia="Times New Roman"/>
                <w:b w:val="false"/>
                <w:sz w:val="26"/>
              </w:rPr>
              <w:t>Thông tư số 13/2024/TT-BQP ngày 18/3/2024 của Bộ trưởng Bộ Quốc phòng sửa đổi, bổ sung một số điều của các văn bản quy phạm pháp luật thuộc thẩm quyền ban hành của Bộ trưởng Bộ Quốc phòng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18-03-2024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2026-05-23T19:32:36Z</dcterms:created>
  <dc:creator>Apache POI</dc:creator>
</cp:coreProperties>
</file>