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nội dung quảng cáo phân bón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đến Chi cục Trồng trọt và Bảo vệ thực vật/ Cơ quan chuyên ngành bảo vệ và kiểm dịch thực vật được Sở Nông nghiệp và Môi trường giao thực hiện thủ tục hành chính (Cơ quan tiếp nhận hồ sơ).</w:t>
      </w:r>
    </w:p>
    <w:p>
      <w:pPr>
        <w:spacing w:after="0" w:before="0" w:lineRule="auto" w:line="276"/>
        <w:jc w:val="both"/>
      </w:pPr>
      <w:r>
        <w:rPr>
          <w:rFonts w:ascii="Times New Roman" w:hAnsi="Times New Roman" w:cs="Times New Roman" w:eastAsia="Times New Roman"/>
          <w:b w:val="false"/>
          <w:sz w:val="26"/>
        </w:rPr>
        <w:t>- Bước 2: Trả lời tính đầy đủ của thành phần hồ sơ:
a) Trường hợp nộp hồ sơ trực tiếp: Cơ quan tiếp nhận hồ sơ kiểm tra thành phần hồ sơ và trả lời ngay khi tổ chức, cá nhân đến nộp hồ sơ;
b) Trường hợp nộp hồ sơ qua dịch vụ bưu chính hoặc qua môi trường mạng: Trong thời hạn không quá 02 ngày làm việc, Cơ quan tiếp nhận hồ sơ xem xét tính đầy đủ, nếu hồ sơ chưa đầy đủ theo quy định, trả lại hồ sơ và thông báo cho tổ chức, cá nhân biết để bổ sung, hoàn thiện.</w:t>
      </w:r>
    </w:p>
    <w:p>
      <w:pPr>
        <w:spacing w:after="0" w:before="0" w:lineRule="auto" w:line="276"/>
        <w:jc w:val="both"/>
      </w:pPr>
      <w:r>
        <w:rPr>
          <w:rFonts w:ascii="Times New Roman" w:hAnsi="Times New Roman" w:cs="Times New Roman" w:eastAsia="Times New Roman"/>
          <w:b w:val="false"/>
          <w:sz w:val="26"/>
        </w:rPr>
        <w:t>- Bước 3: Thẩm định và có văn bản xác nhận nội dung quảng cáo
Trong thời hạn 05 ngày làm việc kể từ ngày nhận đủ hồ sơ, Cơ quan tiếp nhận hồ sơ thẩm định, nếu hồ sơ đáp ứng quy định thì có văn bản xác nhận nội dung quảng cáo theo Mẫu số 21 tại Phụ lục I ban hành kèm theo Nghị định số 84/2019/NĐ-CP; trường hợp không đồng ý phải có văn bản trả lời và nêu rõ lý do.
Đối với quảng cáo thông qua hình thức hội thảo, hội nghị, tổ chức sự kiện: Trước khi tiến hành việc quảng cáo ít nhất 02 ngày làm việc, tổ chức, cá nhân có phân bón đã được cấp giấy xác nhận nội dung quảng cáo phải có văn bản thông báo về hình thức, thời gian và địa điểm quảng cáo kèm theo bản sao giấy xác nhận nội dung quảng cáo cho Sở Nông nghiệp và Phát triển nông thôn nơi tổ chức quảng cáo để thanh tra, kiểm tra trong trường hợp cần thiết.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nộp hồ sơ trực tiếp, qua dịch vụ bưu chính: Các thành phần hồ sơ phải là bản chính hoặc bản sao từ sổ gốc hoặc bản sao chứng thực hoặc nộp bản sao xuất trình bản chính để đối chiếu;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nộp hồ sơ qua môi trường mạng: Các thành phần hồ sơ phải được scan, chụp từ bản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nộp hồ sơ trực tiếp, qua dịch vụ bưu chính: Các thành phần hồ sơ phải là bản chính hoặc bản sao từ sổ gốc hoặc bản sao chứng thực hoặc nộp bản sao xuất trình bản chính để đối chiếu;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hợp lệ Quyết định công nhận phân bón lưu hành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02 kịch bản quảng cáo và file điện tử ghi âm, ghi hình hoặc bản thiết kế phù hợp với loại hình và phương thức quảng cáo (trừ quảng cáo thông qua hình thức hội thảo, hội nghị, tồ chức sự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quảng cáo thông qua hình thức hội thảo, hội nghị, tổ chức sự kiện phải có: chương trình (ghi rõ nội dung); thời gian; địa điểm tổ chức; nội dung bài báo cáo và tài liệu phát cho người dự; bảng kê tên, chức danh, trình độ chuyên môn của báo cáo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xác nhận nội dung quảng cáo phân bón theo Mẫu số 20 tại Phụ lục I ban hành kèm theo Nghị định số 84/2019/NĐ-CP</w:t>
            </w:r>
          </w:p>
        </w:tc>
        <w:tc>
          <w:p/>
          <w:p>
            <w:pPr>
              <w:spacing w:after="0" w:before="0" w:lineRule="auto" w:line="276"/>
              <w:jc w:val="left"/>
            </w:pPr>
            <w:r>
              <w:rPr>
                <w:rFonts w:ascii="Times New Roman" w:hAnsi="Times New Roman" w:cs="Times New Roman" w:eastAsia="Times New Roman"/>
                <w:b w:val="false"/>
                <w:sz w:val="26"/>
              </w:rPr>
              <w:t>Mus20.docx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31/2018/QH14</w:t>
            </w:r>
          </w:p>
        </w:tc>
        <w:tc>
          <w:p/>
          <w:p>
            <w:pPr>
              <w:spacing w:after="0" w:before="0" w:lineRule="auto" w:line="276"/>
              <w:jc w:val="left"/>
            </w:pPr>
            <w:r>
              <w:rPr>
                <w:rFonts w:ascii="Times New Roman" w:hAnsi="Times New Roman" w:cs="Times New Roman" w:eastAsia="Times New Roman"/>
                <w:b w:val="false"/>
                <w:sz w:val="26"/>
              </w:rPr>
              <w:t>- Điều 49 Luật Trồng trọt năm 2018;</w:t>
            </w:r>
          </w:p>
        </w:tc>
        <w:tc>
          <w:p/>
          <w:p>
            <w:pPr>
              <w:spacing w:after="0" w:before="0" w:lineRule="auto" w:line="276"/>
              <w:jc w:val="left"/>
            </w:pPr>
            <w:r>
              <w:rPr>
                <w:rFonts w:ascii="Times New Roman" w:hAnsi="Times New Roman" w:cs="Times New Roman" w:eastAsia="Times New Roman"/>
                <w:b w:val="false"/>
                <w:sz w:val="26"/>
              </w:rPr>
              <w:t>19-11-2019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84/2019/NĐ-CP</w:t>
            </w:r>
          </w:p>
        </w:tc>
        <w:tc>
          <w:p/>
          <w:p>
            <w:pPr>
              <w:spacing w:after="0" w:before="0" w:lineRule="auto" w:line="276"/>
              <w:jc w:val="left"/>
            </w:pPr>
            <w:r>
              <w:rPr>
                <w:rFonts w:ascii="Times New Roman" w:hAnsi="Times New Roman" w:cs="Times New Roman" w:eastAsia="Times New Roman"/>
                <w:b w:val="false"/>
                <w:sz w:val="26"/>
              </w:rPr>
              <w:t>Điều 4, Điều 24, Điều 26 Nghị định số 84/2019/NĐ-CP ngày 14/11/2019 của Chính phủ quy định về quản lý phân bón.</w:t>
            </w:r>
          </w:p>
        </w:tc>
        <w:tc>
          <w:p/>
          <w:p>
            <w:pPr>
              <w:spacing w:after="0" w:before="0" w:lineRule="auto" w:line="276"/>
              <w:jc w:val="left"/>
            </w:pPr>
            <w:r>
              <w:rPr>
                <w:rFonts w:ascii="Times New Roman" w:hAnsi="Times New Roman" w:cs="Times New Roman" w:eastAsia="Times New Roman"/>
                <w:b w:val="false"/>
                <w:sz w:val="26"/>
              </w:rPr>
              <w:t>14-11-2018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2026-05-07T05:23:01Z</dcterms:created>
  <dc:creator>Apache POI</dc:creator>
</cp:coreProperties>
</file>