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2.000609.000.00.00.H36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tổ chức hội nghị, hội thảo, đào tạo về bán hàng đa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bán hàng đa cấp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Doanh nghiệp bán hàng đa cấp nộp hồ sơ thông báo tổ chức hội nghị, hội thảo, đào tạo về bán hàng đa cấp tới Sở Công Thương ít nhất 15 ngày làm việc trước ngày dự kiến thực hiện. Doanh nghiệp bán hàng đa cấp có thể thông báo về việc tổ chức nhiều hội nghị, hội thảo, đào tạo về bán hàng đa cấp trong cùng một văn bản thông báo.</w:t>
      </w:r>
    </w:p>
    <w:p>
      <w:pPr>
        <w:spacing w:after="0" w:before="0" w:lineRule="auto" w:line="276"/>
        <w:jc w:val="both"/>
      </w:pPr>
      <w:r>
        <w:rPr>
          <w:rFonts w:ascii="Times New Roman" w:hAnsi="Times New Roman" w:cs="Times New Roman" w:eastAsia="Times New Roman"/>
          <w:b w:val="false"/>
          <w:sz w:val="26"/>
        </w:rPr>
        <w:t>- Tiếp nhận hồ sơ: Trường hợp hồ sơ chưa đầy đủ, hợp lệ, trong thời hạn 05 ngày làm việc kể từ ngày nhận được hồ sơ, Sở Công Thương thông báo bằng văn bản để doanh nghiệp sửa đổi, bổ sung. Thời hạn sửa đổi, bổ sung là 10 ngày làm việc kể từ ngày Sở Công Thương ban hành thông báo.</w:t>
      </w:r>
    </w:p>
    <w:p>
      <w:pPr>
        <w:spacing w:after="0" w:before="0" w:lineRule="auto" w:line="276"/>
        <w:jc w:val="both"/>
      </w:pPr>
      <w:r>
        <w:rPr>
          <w:rFonts w:ascii="Times New Roman" w:hAnsi="Times New Roman" w:cs="Times New Roman" w:eastAsia="Times New Roman"/>
          <w:b w:val="false"/>
          <w:sz w:val="26"/>
        </w:rPr>
        <w:t>Doanh nghiệp được phép tổ chức hội nghị, hội thảo, đào tạo nếu trong thời hạn 05 ngày làm việc kể từ ngày Sở Công Thương nhận được thông báo, Sở Công Thương không có yêu cầu sửa đổi, bổ sung.</w:t>
      </w:r>
    </w:p>
    <w:p>
      <w:pPr>
        <w:spacing w:after="0" w:before="0" w:lineRule="auto" w:line="276"/>
        <w:jc w:val="both"/>
      </w:pPr>
      <w:r>
        <w:rPr>
          <w:rFonts w:ascii="Times New Roman" w:hAnsi="Times New Roman" w:cs="Times New Roman" w:eastAsia="Times New Roman"/>
          <w:b w:val="false"/>
          <w:sz w:val="26"/>
        </w:rPr>
        <w:t>Khi có thay đổi thông tin trong hồ sơ thông báo tổ chức hội nghị, hội thảo, đào tạo, doanh nghiệp có trách nhiệm thông báo bằng văn bản tới Sở Công Thương ít nhất 03 ngày làm việc trước ngày dự kiến thực hiện.</w:t>
      </w:r>
    </w:p>
    <w:p>
      <w:pPr>
        <w:spacing w:after="0" w:before="0" w:lineRule="auto" w:line="276"/>
        <w:jc w:val="both"/>
      </w:pPr>
      <w:r>
        <w:rPr>
          <w:rFonts w:ascii="Times New Roman" w:hAnsi="Times New Roman" w:cs="Times New Roman" w:eastAsia="Times New Roman"/>
          <w:b w:val="false"/>
          <w:sz w:val="26"/>
        </w:rPr>
        <w:t>Trường hợp đã thông báo tổ chức hội nghị, hội thảo, đào tạo với Sở Công Thương nhưng không thực hiện, doanh nghiệp có trách nhiệm thông báo bằng văn bản tới Sở Công Thương trước ngày dự kiến tổ chức trong hồ sơ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5 ngày làm việc kể từ ngày nhận đủ hồ sơ hợp , nếu Sở Công thương không có văn bản yêu cầu bổ sung thì đơn vị đươc triển khai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5 ngày làm việc kể từ ngày nhận đủ hồ sơ hợp , nếu Sở Công thương không có văn bản yêu cầu bổ sung thì đơn vị đươc triển khai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5 ngày làm việc kể từ ngày nhận đủ hồ sơ hợp , nếu Sở Công thương không có văn bản yêu cầu bổ sung thì đơn vị đươc triển khai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tổ chức hội nghị, hội thảo, đào tạo về bán hàng đa cấp theo Mẫu số 12 tại Phụ lục ban hành kèm theo Nghị định số 40/2018/NĐ-CP;</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nội dung, tài liệu trình bày tại hội thảo, số lượng người tham gia dự kiến;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báo cáo viên tại hội nghị, hội thảo, đào tạo kèm theo hợp đồng thuê khoán của doanh nghiệp, trong đó quy định rõ quyền hạn, trách nhiệm, nội dung báo cáo của báo cáo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văn bản ủy quyền trong trường hợp doanh nghiệp ủy quyền cho cá nhân thực hiện đào tạo hoặc tổ chức hội nghị, hội thảo;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tài khoản hoặc đường dẫn truy cập vào hội nghị, hội thảo, đào tạo trong trường hợp tổ chức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 giải quyết TTHC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40/2018/NĐ-CP</w:t>
            </w:r>
          </w:p>
        </w:tc>
        <w:tc>
          <w:p/>
          <w:p>
            <w:pPr>
              <w:spacing w:after="0" w:before="0" w:lineRule="auto" w:line="276"/>
              <w:jc w:val="left"/>
            </w:pPr>
            <w:r>
              <w:rPr>
                <w:rFonts w:ascii="Times New Roman" w:hAnsi="Times New Roman" w:cs="Times New Roman" w:eastAsia="Times New Roman"/>
                <w:b w:val="false"/>
                <w:sz w:val="26"/>
              </w:rPr>
              <w:t>Về quản lý hoạt động kinh doanh theo phương thức đa cấp</w:t>
            </w:r>
          </w:p>
        </w:tc>
        <w:tc>
          <w:p/>
          <w:p>
            <w:pPr>
              <w:spacing w:after="0" w:before="0" w:lineRule="auto" w:line="276"/>
              <w:jc w:val="left"/>
            </w:pPr>
            <w:r>
              <w:rPr>
                <w:rFonts w:ascii="Times New Roman" w:hAnsi="Times New Roman" w:cs="Times New Roman" w:eastAsia="Times New Roman"/>
                <w:b w:val="false"/>
                <w:sz w:val="26"/>
              </w:rPr>
              <w:t>12-03-2018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Ủy ban Cạnh tranh Quốc gia</w:t>
            </w:r>
          </w:p>
        </w:tc>
        <w:tc>
          <w:p/>
          <w:p>
            <w:pPr>
              <w:spacing w:after="0" w:before="0" w:lineRule="auto" w:line="276"/>
              <w:jc w:val="left"/>
            </w:pPr>
            <w:r>
              <w:rPr>
                <w:rFonts w:ascii="Times New Roman" w:hAnsi="Times New Roman" w:cs="Times New Roman" w:eastAsia="Times New Roman"/>
                <w:b w:val="false"/>
                <w:sz w:val="26"/>
              </w:rPr>
              <w:t>10-02-2023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40/2018/NĐ-CP ngày 12 tháng 3 năm 2018 của Chính phủ về quản lý hoạt động kinh doanh theo phương thức đa cấp</w:t>
            </w:r>
          </w:p>
        </w:tc>
        <w:tc>
          <w:p/>
          <w:p>
            <w:pPr>
              <w:spacing w:after="0" w:before="0" w:lineRule="auto" w:line="276"/>
              <w:jc w:val="left"/>
            </w:pPr>
            <w:r>
              <w:rPr>
                <w:rFonts w:ascii="Times New Roman" w:hAnsi="Times New Roman" w:cs="Times New Roman" w:eastAsia="Times New Roman"/>
                <w:b w:val="false"/>
                <w:sz w:val="26"/>
              </w:rPr>
              <w:t>28-10-2023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bán hàng đa cấp chỉ được phép tổ chức hội nghị, hội thảo, đào tạo về bán hàng đa cấp tại các tỉnh, thành phố trực thuộc trung ương nơi doanh nghiệp đã được cấp xác nhận đăng ký hoạt động bán hàng đa cấp tại địa phương.
- Trường hợp hội nghị, hội thảo, đào tạo về bán hàng đa cấp có sự tham dự của từ 30 người trở lên hoặc có sự tham dự của từ 10 người tham gia bán hàng đa cấp trở lên mà không phải là cuộc họp hoặc sự kiện nội bộ, doanh nghiệp bán hàng đa cấp có trách nhiệm thông báo tới Sở Công Thương tỉnh, thành phố trực thuộc trung ương trước khi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2026-05-21T16:36:54Z</dcterms:created>
  <dc:creator>Apache POI</dc:creator>
</cp:coreProperties>
</file>