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1.007954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2658/QĐ-NHNN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tái cấp vốn, gia hạn tái cấp vốn dưới hình thức cho vay lại theo hồ sơ tín dụng đối với tổ chức tín dụng nhằm hỗ trợ thanh khoản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tiền tệ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Ngân hàng thương mại, ngân hàng hợp tác xã, công ty tài chính, công ty cho thuê tài chính (sau đây gọi là tổ chức tín dụng) gửi 01 bộ hồ sơ đến Ngân hàng Nhà nước Việt Nam (Vụ Chính sách tiền tệ).
Trường hợp đề nghị gia hạn vay tái cấp vốn, tổ chức tín dụng phải gửi hồ sơ đến Ngân hàng Nhà nước Việt Nam trước ngày đến hạn trả nợ tối thiểu 20 ngày làm việc;
</w:t>
      </w:r>
    </w:p>
    <w:p>
      <w:pPr>
        <w:spacing w:after="0" w:before="0" w:lineRule="auto" w:line="276"/>
        <w:jc w:val="both"/>
      </w:pPr>
      <w:r>
        <w:rPr>
          <w:rFonts w:ascii="Times New Roman" w:hAnsi="Times New Roman" w:cs="Times New Roman" w:eastAsia="Times New Roman"/>
          <w:b w:val="false"/>
          <w:sz w:val="26"/>
        </w:rPr>
        <w:t>Bước 2: Trường hợp hồ sơ của tổ chức tín dụng chưa đầy đủ theo quy định, trong thời hạn 02 ngày làm việc kể từ ngày nhận được hồ sơ, Ngân hàng Nhà nước Việt Nam (Vụ Chính sách tiền tệ) có văn bản yêu cầu tổ chức tín dụng bổ sung, hoàn thiện hồ sơ;</w:t>
      </w:r>
    </w:p>
    <w:p>
      <w:pPr>
        <w:spacing w:after="0" w:before="0" w:lineRule="auto" w:line="276"/>
        <w:jc w:val="both"/>
      </w:pPr>
      <w:r>
        <w:rPr>
          <w:rFonts w:ascii="Times New Roman" w:hAnsi="Times New Roman" w:cs="Times New Roman" w:eastAsia="Times New Roman"/>
          <w:b w:val="false"/>
          <w:sz w:val="26"/>
        </w:rPr>
        <w:t>Bước 3: Trong thời hạn 20 ngày làm việc kể từ ngày nhận được đầy đủ hồ sơ của tổ chức tín dụng theo quy định và các văn bản cập nhật, bổ sung, làm rõ của tổ chức tín dụng (nếu có), Ngân hàng Nhà nước Việt Nam có Quyết định tái cấp vốn hoặc gia hạn tái cấp vốn đối với tổ chức tín dụng; trường hợp không đồng ý, Ngân hàng Nhà nước Việt Nam có văn bản nêu lý do gửi tổ chức tín dụng.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đề nghị vay tái cấp vốn theo Phụ lục số 01 ban hành kèm theo Thông tư số 24/2019/TT-NHNN (đối với trường hợp đề nghị vay tái cấp vốn) hoặc Giấy đề nghị gia hạn vay tái cấp vốn theo Phụ lục số 02 ban hành kèm theo Thông tư số 24/2019/TT-NHNN (đối với trường hợp đề nghị gia hạn vay tái cấp vốn);</w:t>
            </w:r>
          </w:p>
        </w:tc>
        <w:tc>
          <w:p/>
          <w:p>
            <w:pPr>
              <w:spacing w:after="0" w:before="0" w:lineRule="auto" w:line="276"/>
              <w:jc w:val="left"/>
            </w:pPr>
            <w:r>
              <w:rPr>
                <w:rFonts w:ascii="Times New Roman" w:hAnsi="Times New Roman" w:cs="Times New Roman" w:eastAsia="Times New Roman"/>
                <w:b w:val="false"/>
                <w:sz w:val="26"/>
              </w:rPr>
              <w:t>Phụ lục số 01_TT24.docx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cụ thể về các nội dung: Việc đáp ứng đủ các điều kiện tái cấp vốn hoặc gia hạn tái cấp vốn theo quy định tại Điều 12 Thông tư số 24/2019/TT-NHNN; tình hình khó khăn về khả năng chi trả của tổ chức tín dụng; giải trình số tiền đề nghị vay tái cấp vốn; biện pháp đã áp dụng và dự kiến áp dụng để khắc phục khó khăn về khả năng chi trả và trả nợ vay tái cấp vốn;</w:t>
            </w:r>
          </w:p>
        </w:tc>
        <w:tc>
          <w:p/>
          <w:p>
            <w:pPr>
              <w:spacing w:after="0" w:before="0" w:lineRule="auto" w:line="276"/>
              <w:jc w:val="left"/>
            </w:pPr>
            <w:r>
              <w:rPr>
                <w:rFonts w:ascii="Times New Roman" w:hAnsi="Times New Roman" w:cs="Times New Roman" w:eastAsia="Times New Roman"/>
                <w:b w:val="false"/>
                <w:sz w:val="26"/>
              </w:rPr>
              <w:t>Phụ lục số 02_TT24.docx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Bảng kê hồ sơ tín dụng để vay tái cấp vốn hoặc gia hạn vay tái cấp vốn theo Phụ lục số 03 ban hành kèm theo Thông tư số 24/2019/TT-NHNN (02 bản);</w:t>
            </w:r>
          </w:p>
        </w:tc>
        <w:tc>
          <w:p/>
          <w:p>
            <w:pPr>
              <w:spacing w:after="0" w:before="0" w:lineRule="auto" w:line="276"/>
              <w:jc w:val="left"/>
            </w:pPr>
            <w:r>
              <w:rPr>
                <w:rFonts w:ascii="Times New Roman" w:hAnsi="Times New Roman" w:cs="Times New Roman" w:eastAsia="Times New Roman"/>
                <w:b w:val="false"/>
                <w:sz w:val="26"/>
              </w:rPr>
              <w:t>Phụ lục số 03_TT24.docx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Báo cáo số liệu theo Phụ lục số 04, Phụ lục số 05, Phụ lục số 06 ban hành kèm theo Thông tư số 24/2019/TT-NHNN (đối với trường hợp đề nghị vay tái cấp vốn) hoặc Phụ lục số 04, Phụ lục số 05 ban hành kèm theo Thông tư 24/2019/TT-NHNN (đối với trường hợp đề nghị gia hạn vay tái cấp vốn).</w:t>
            </w:r>
          </w:p>
        </w:tc>
        <w:tc>
          <w:p/>
          <w:p>
            <w:pPr>
              <w:spacing w:after="0" w:before="0" w:lineRule="auto" w:line="276"/>
              <w:jc w:val="left"/>
            </w:pPr>
            <w:r>
              <w:rPr>
                <w:rFonts w:ascii="Times New Roman" w:hAnsi="Times New Roman" w:cs="Times New Roman" w:eastAsia="Times New Roman"/>
                <w:b w:val="false"/>
                <w:sz w:val="26"/>
              </w:rPr>
              <w:t>Phụ lục số 04_TT24.docx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Phụ lục số 05</w:t>
            </w:r>
          </w:p>
        </w:tc>
        <w:tc>
          <w:p/>
          <w:p>
            <w:pPr>
              <w:spacing w:after="0" w:before="0" w:lineRule="auto" w:line="276"/>
              <w:jc w:val="left"/>
            </w:pPr>
            <w:r>
              <w:rPr>
                <w:rFonts w:ascii="Times New Roman" w:hAnsi="Times New Roman" w:cs="Times New Roman" w:eastAsia="Times New Roman"/>
                <w:b w:val="false"/>
                <w:sz w:val="26"/>
              </w:rPr>
              <w:t>Phụ lục số 05_TT24.docx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Phụ lục số 06</w:t>
            </w:r>
          </w:p>
        </w:tc>
        <w:tc>
          <w:p/>
          <w:p>
            <w:pPr>
              <w:spacing w:after="0" w:before="0" w:lineRule="auto" w:line="276"/>
              <w:jc w:val="left"/>
            </w:pPr>
            <w:r>
              <w:rPr>
                <w:rFonts w:ascii="Times New Roman" w:hAnsi="Times New Roman" w:cs="Times New Roman" w:eastAsia="Times New Roman"/>
                <w:b w:val="false"/>
                <w:sz w:val="26"/>
              </w:rPr>
              <w:t>Phụ lục số 06_TT24.docx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tái cấp vốn hoặc gia hạn tái cấp vốn dưới hình thức cho vay lại theo hồ sơ tín dụng đối với tổ chức tín dụng nhằm hỗ trợ thanh khoản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47/2010/QH12</w:t>
            </w:r>
          </w:p>
        </w:tc>
        <w:tc>
          <w:p/>
          <w:p>
            <w:pPr>
              <w:spacing w:after="0" w:before="0" w:lineRule="auto" w:line="276"/>
              <w:jc w:val="left"/>
            </w:pPr>
            <w:r>
              <w:rPr>
                <w:rFonts w:ascii="Times New Roman" w:hAnsi="Times New Roman" w:cs="Times New Roman" w:eastAsia="Times New Roman"/>
                <w:b w:val="false"/>
                <w:sz w:val="26"/>
              </w:rPr>
              <w:t>Các tổ chức tín dụng</w:t>
            </w:r>
          </w:p>
        </w:tc>
        <w:tc>
          <w:p/>
          <w:p>
            <w:pPr>
              <w:spacing w:after="0" w:before="0" w:lineRule="auto" w:line="276"/>
              <w:jc w:val="left"/>
            </w:pPr>
            <w:r>
              <w:rPr>
                <w:rFonts w:ascii="Times New Roman" w:hAnsi="Times New Roman" w:cs="Times New Roman" w:eastAsia="Times New Roman"/>
                <w:b w:val="false"/>
                <w:sz w:val="26"/>
              </w:rPr>
              <w:t>16-06-2010</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	46/2010/QH12</w:t>
            </w:r>
          </w:p>
        </w:tc>
        <w:tc>
          <w:p/>
          <w:p>
            <w:pPr>
              <w:spacing w:after="0" w:before="0" w:lineRule="auto" w:line="276"/>
              <w:jc w:val="left"/>
            </w:pPr>
            <w:r>
              <w:rPr>
                <w:rFonts w:ascii="Times New Roman" w:hAnsi="Times New Roman" w:cs="Times New Roman" w:eastAsia="Times New Roman"/>
                <w:b w:val="false"/>
                <w:sz w:val="26"/>
              </w:rPr>
              <w:t>Luật Luật Ngân hàng Nhà nước</w:t>
            </w:r>
          </w:p>
        </w:tc>
        <w:tc>
          <w:p/>
          <w:p>
            <w:pPr>
              <w:spacing w:after="0" w:before="0" w:lineRule="auto" w:line="276"/>
              <w:jc w:val="left"/>
            </w:pPr>
            <w:r>
              <w:rPr>
                <w:rFonts w:ascii="Times New Roman" w:hAnsi="Times New Roman" w:cs="Times New Roman" w:eastAsia="Times New Roman"/>
                <w:b w:val="false"/>
                <w:sz w:val="26"/>
              </w:rPr>
              <w:t>16-06-2010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24/2019/TT-NHNN</w:t>
            </w:r>
          </w:p>
        </w:tc>
        <w:tc>
          <w:p/>
          <w:p>
            <w:pPr>
              <w:spacing w:after="0" w:before="0" w:lineRule="auto" w:line="276"/>
              <w:jc w:val="left"/>
            </w:pPr>
            <w:r>
              <w:rPr>
                <w:rFonts w:ascii="Times New Roman" w:hAnsi="Times New Roman" w:cs="Times New Roman" w:eastAsia="Times New Roman"/>
                <w:b w:val="false"/>
                <w:sz w:val="26"/>
              </w:rPr>
              <w:t>Thông tư quy định về tái cấp vốn dưới hình thức cho vay lại theo hồ sơ tín dụng đối với tổ chức tín dụng.</w:t>
            </w:r>
          </w:p>
        </w:tc>
        <w:tc>
          <w:p/>
          <w:p>
            <w:pPr>
              <w:spacing w:after="0" w:before="0" w:lineRule="auto" w:line="276"/>
              <w:jc w:val="left"/>
            </w:pPr>
            <w:r>
              <w:rPr>
                <w:rFonts w:ascii="Times New Roman" w:hAnsi="Times New Roman" w:cs="Times New Roman" w:eastAsia="Times New Roman"/>
                <w:b w:val="false"/>
                <w:sz w:val="26"/>
              </w:rPr>
              <w:t>28-11-2019</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Ngân hàng Nhà nước Việt Nam xem xét, quyết định tái cấp vốn, gia hạn tái cấp vốn dưới hình thức cho vay lại theo hồ sơ tín dụng nhằm hỗ trợ thanh khoản đối với tổ chức tín dụng đáp ứng đủ các điều kiện sau:
	(i) Gặp khó khăn về khả năng chi trả và không trong thời gian được kiểm soát đặc biệt.
	(ii) Có cam kết về việc không có hoặc đã sử dụng hết giấy tờ có giá thuộc danh mục giấy tờ có giá được sử dụng trong các giao dịch của Ngân hàng Nhà nước Việt Nam tại ngày có Giấy đề nghị vay tái cấp vốn hoặc Giấy đề nghị gia hạn vay tái cấp vốn và cam kết các khoản cho vay trong bảng kê hồ sơ tín dụng (theo Phụ lục số 03) để tái cấp vốn hoặc gia hạn tái cấp vốn đáp ứng đầy đủ các tiêu chuẩn quy định tại Điều 13 Thông tư số 24/2019/TT-NHNN, cụ thể như sau:
+ Khoản cho vay bằng đồng Việt Nam, có bảo đảm bằng tài sản theo quy định của pháp luật đối với toàn bộ giá trị khoản cho vay và được phân loại nợ vào nhóm 1 theo quy định của Ngân hàng Nhà nước Việt Nam về phân loại nợ của tổ chức tín dụng; 
+ Không phải là khoản cho vay đối với ngành, lĩnh vực mà Chính phủ, Ngân hàng Nhà nước Việt Nam yêu cầu tổ chức tín dụng hạn chế, kiểm soát tín dụng trong từng thời kỳ; 
+ Khoản cho vay không được sử dụng vào mục đích khác;
+ Tại ngày có Giấy đề nghị vay tái cấp vốn hoặc Giấy đề nghị gia hạn vay tái cấp vốn, thời hạn còn lại của khoản cho vay dài hơn thời hạn đề nghị vay tái cấp vốn hoặc gia hạn vay tái cấp vốn ít nhất 60 ngày).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2026-05-18T11:48:33Z</dcterms:created>
  <dc:creator>Apache POI</dc:creator>
</cp:coreProperties>
</file>