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cho phép sử dụng thẻ đi lại của Doanh nhân APEC (ABTC)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yêu cầu xin cấp phép sử dụng thẻ đi lại của doanh nhân APEC (thẻ ABTC) nộp hồ sơ qua hệ thống bưu chính, trực tiếp tại Bộ phận tiếp nhận hồ sơ và trả kết quả giải quyết TTHC - Trung tâm Phục vụ Hành chính công tỉnh Thái Nguyên (địa chỉ: số 17, đường Đội Cấn, phường Trưng Vương, thành phố Thái Nguyên, tỉnh Thái Nguyên) hoặc bằng hình thức phù hợp khác.
Sở Ngoại vụ tiếp nhận, kiểm tra hồ sơ:
- Đối với hồ sơ nộp trực tiếp: sau khi kiểm tra thành phần hồ sơ, nếu đúng quy định thì tiếp nhận hồ sơ; nếu không đúng quy định thì hướng dẫn tổ chức, cá nhân hoàn thiện hồ sơ.
- Đối với hồ sơ nộp gián tiếp (qua hệ thống bưu chính hoặc bằng hình thức phù hợp khác): cơ quan có thẩm quyền tiếp nhận hồ sơ; hồ sơ chưa đầy đủ theo quy định thì Sở Ngoại vụ có văn bản hướng dẫn cho tổ chức, cá nhân hoàn thiện hồ sơ.
Bước 2: Trong thời hạn 01 ngày làm việc kể từ ngày nhận đủ hồ sơ hợp lệ Sở Ngoại vụ tiến hành xin ý kiến của các cơ quan liên quan
Bước 3: Trong thời hạn 05 (năm) ngày làm việc kể từ ngày nhận được văn bản xin ý kiến của Sở Ngoại vụ, các cơ quan liên quan có trách nhiệm trả lời.
Trường hợp cần có thêm thời gian để xác minh phải thông báo bằng văn bản cho cơ quan có thẩm quyền tiếp nhận biết và thời gian để xác minh bổ sung, cung cấp thông tin không quá 05 (năm) ngày làm việc.
Trường hợp không nhận được thông tin trong thời hạn trên, Sở Ngoại vụ tiếp tục thực hiện giải quyết công việc, cơ quan không cung cấp thông tin phải chịu trách nhiệm về nội dung thông tin thuộc trách nhiệm của mình”. 
Bước 4: Trong thời hạn 01 ngày làm việc Sở Ngoại vụ tổng hợp ý kiến, trình UBND tỉnh quyết định cho phép sử dụng thẻ đi lại của Doanh nhân APEC (ABTC).
Bước 5: Văn phòng UBND tỉnh xem xét, thẩm định hồ sơ do Sở Ngoại vụ trình. Nếu hồ sơ đủ điều kiện thì trình Chủ tịch UBND tỉnh ký trong thời hạn 03 (ba) ngày làm việc kể từ ngày nhận được hồ sơ. Trường hợp không chấp thuận phải có văn bản trả lời và nêu rõ lý do.
Bước 6: Trả kết quả giải quyết thủ tục hành chính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làm việc (15 ngày làm việc đối với trường hợp cần có thêm thời gian để xác minh thông tin).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làm việc (15 ngày làm việc đối với trường hợp cần có thêm thời gian để xác minh thông tin).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làm việc (15 ngày làm việc đối với trường hợp cần có thêm thời gian để xác minh thông tin).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Doanh nhân Việt Nam đang làm việc tại các doanh nghiệp nhà nước thuộc thẩm quyền quản lý của Ủy ban nhân dân tỉnh Thái Nguyên; Doanh nhân Việt Nam đang làm việc tại các doanh nghiệp được thành lập hợp pháp theo quy định của pháp luật Việt Nam thuộc tỉnh Thái Nguyên; Doanh nhân làm việc tại các doanh nghiệp do Bộ, cơ quan ngang Bộ, cơ quan thuộc Chính phủ thành lập nhưng đã được cổ phần hóa, không còn vốn nhà nước chi phối có trụ sở đặt tại tỉnh thành phần hồ sơ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doanh nghiệp do đại diện theo pháp luật của doanh nghiệp ký tên và đóng dấu (theo mẫu);</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thành lập doanh nghiệp (đối với doanh nghiệp nhà nước), hoặc Giấy chứng nhận đăng ký kinh doanh (đối với doanh nghiệp dân doanh), hoặc Giấy chứng nhận đầu tư đối với các doanh nhân làm việc tại các doanh nghiệp ở Khu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một trong các loại giấy tờ: Thư mời, hợp đồng ngoại thương, hợp đồng liên doanh, hợp đồng hợp tác kinh doanh, hợp đồng cung cấp dịch vụ hoặc các chứng từ xuất nhập khẩu khác (L/C, vận đơn, tờ khai hải quan, hóa đơn thanh toán) không quá 01 năm tính đến thời điểm xin cấp thẻ ABTC với các đối tác thuộc nền kinh tế thành viên APEC tham gia chương trình thẻ ABTC (kèm bản chính các giấy tờ trên để đối chiếu). Nếu các văn bản bằng tiếng nước ngoài phải có bản dịch tiếng Việt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hộ chiếu có chứng thực (hoặc trình hộ chiếu để đối chiếu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bổ nhiệm chức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có chứng thực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có chứng thực các Bằng khen, Giấy khen, Giấy chứng nhận đạt tiêu chuẩn chất lượng… của doanh nghiệp hoặc doanh nhân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văn bản thực hiện nghĩa vụ thuế với Nhà nước 6 tháng gần nhất (thuế môn bài, thuế thu nhập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Đối với doanh nhân Việt Nam xin cấp thẻ ABTC thuộc trường hợp doanh nhân vi phạm pháp luật đang trong quá trình bị cơ quan có thẩm quyền điều tra, xử lý; đang phải chấp hành hình phạt hoặc đã chấp hành xong nhưng chưa được xoá án tích hoặc đang có nghĩa vụ thi hành bản án dân sự, kinh tế, lao động hoặc đang có nghĩa vụ chấp hành quyết định xử phạt vi phạm hành chính, nghĩa vụ nộp thuế và những nghĩa vụ khác về tài chính thì ngoài những giấy tờ nêu trên, cần phải có kết luận của Cơ quan điều tra, Viện kiểm sát nhân dân, Tòa án nhân dân, cơ quan thi hành án các cấp về việc doanh nhân không vi phạm pháp luật hoặc đã chấp hành xong các nghĩa vụ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cán bộ, công chức, viên chức thuộc tỉnh Thái Nguyên được giao nhiệm vụ tham dự các cuộc họp, hội nghị, hội thảo và các hoạt động kinh tế khác của khối APEC,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mà cán bộ, công chức, viên chức đang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hộ chiếu có chứng thực (hoặc trình hộ chiếu để đối chiếu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có chứng thực thư mời hoặc các văn bản, giấy tờ liên quan đến việc thực hiện cam kết thương mại với các nước và vùng lãnh thổ thành viên tham gia chương trình ABTC. Nếu các văn bản bằng tiếng nước ngoài phải có bản dịch tiếng Việt kèm theo. (căn cứ Điều 7, QĐ 10/2011/QĐ-UBND, Điều 8, QĐ 10/2011)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Ngoại vụ - tỉnh Thái Nguyên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Thái Nguyên (địa chỉ: số 17, đường Đội Cấn, phường Trưng Vương, thành phố Thái Nguyên,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thuế tỉnhThái Nguyên - Bộ tài chính, Chi cục Hải quan Thái Nguyên  - Bộ tài chính, Công an Tỉnh, Sở Kế hoạch và Đầu tư - tỉnh Thái Nguyên, Sở Lao động, Thương binh và Xã hội - tỉnh Thái Nguyên, Bảo hiểm xã hội Thái Nguyên - tỉnh Thái Nguyên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sử dụng thẻ ABTC của cấp có thẩm quyền, cụ thể:</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136/2007/NĐ-CP </w:t>
            </w:r>
          </w:p>
        </w:tc>
        <w:tc>
          <w:p/>
          <w:p>
            <w:pPr>
              <w:spacing w:after="0" w:before="0" w:lineRule="auto" w:line="276"/>
              <w:jc w:val="left"/>
            </w:pPr>
            <w:r>
              <w:rPr>
                <w:rFonts w:ascii="Times New Roman" w:hAnsi="Times New Roman" w:cs="Times New Roman" w:eastAsia="Times New Roman"/>
                <w:b w:val="false"/>
                <w:sz w:val="26"/>
              </w:rPr>
              <w:t>Nghị định 136/2007/NĐ-CP ngày 17/8/2007 của Chính phủ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45/2006/QĐ-TTg </w:t>
            </w:r>
          </w:p>
        </w:tc>
        <w:tc>
          <w:p/>
          <w:p>
            <w:pPr>
              <w:spacing w:after="0" w:before="0" w:lineRule="auto" w:line="276"/>
              <w:jc w:val="left"/>
            </w:pPr>
            <w:r>
              <w:rPr>
                <w:rFonts w:ascii="Times New Roman" w:hAnsi="Times New Roman" w:cs="Times New Roman" w:eastAsia="Times New Roman"/>
                <w:b w:val="false"/>
                <w:sz w:val="26"/>
              </w:rPr>
              <w:t>Quyết định số 45/2006/QĐ-TTg ngày 28/02/2006 của Thủ tướng Chính phủ ban hành quy chế cấp và quản lý thẻ đi lại của doanh nhân APEC.</w:t>
            </w:r>
          </w:p>
        </w:tc>
        <w:tc>
          <w:p/>
          <w:p>
            <w:pPr>
              <w:spacing w:after="0" w:before="0" w:lineRule="auto" w:line="276"/>
              <w:jc w:val="left"/>
            </w:pPr>
            <w:r>
              <w:rPr>
                <w:rFonts w:ascii="Times New Roman" w:hAnsi="Times New Roman" w:cs="Times New Roman" w:eastAsia="Times New Roman"/>
                <w:b w:val="false"/>
                <w:sz w:val="26"/>
              </w:rPr>
              <w:t>28-02-2006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54/2015/QĐ-TTg</w:t>
            </w:r>
          </w:p>
        </w:tc>
        <w:tc>
          <w:p/>
          <w:p>
            <w:pPr>
              <w:spacing w:after="0" w:before="0" w:lineRule="auto" w:line="276"/>
              <w:jc w:val="left"/>
            </w:pPr>
            <w:r>
              <w:rPr>
                <w:rFonts w:ascii="Times New Roman" w:hAnsi="Times New Roman" w:cs="Times New Roman" w:eastAsia="Times New Roman"/>
                <w:b w:val="false"/>
                <w:sz w:val="26"/>
              </w:rPr>
              <w:t>Quyết định số 54/2015/QĐ-TTg, ngày 29/10/2015 của  Thủ tướng Chính phủ về sửa đổi, bổ sung một số điều của Quy chế về việc cấp và quản lý thẻ đi lại của doanh nhân APEC ban hành kèm theo Quyết định số 45/2006/QĐ-TTg ngày 28/02/2006 của Thủ tướng Chính phủ</w:t>
            </w:r>
          </w:p>
        </w:tc>
        <w:tc>
          <w:p/>
          <w:p>
            <w:pPr>
              <w:spacing w:after="0" w:before="0" w:lineRule="auto" w:line="276"/>
              <w:jc w:val="left"/>
            </w:pPr>
            <w:r>
              <w:rPr>
                <w:rFonts w:ascii="Times New Roman" w:hAnsi="Times New Roman" w:cs="Times New Roman" w:eastAsia="Times New Roman"/>
                <w:b w:val="false"/>
                <w:sz w:val="26"/>
              </w:rPr>
              <w:t>29-10-2015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28/2016/TT-BCA</w:t>
            </w:r>
          </w:p>
        </w:tc>
        <w:tc>
          <w:p/>
          <w:p>
            <w:pPr>
              <w:spacing w:after="0" w:before="0" w:lineRule="auto" w:line="276"/>
              <w:jc w:val="left"/>
            </w:pPr>
            <w:r>
              <w:rPr>
                <w:rFonts w:ascii="Times New Roman" w:hAnsi="Times New Roman" w:cs="Times New Roman" w:eastAsia="Times New Roman"/>
                <w:b w:val="false"/>
                <w:sz w:val="26"/>
              </w:rPr>
              <w:t>Thông tư số 28/2016/TT-BCA, ngày 05/7/2016 của Bộ Công an hướng dẫn thực hiện Quy chế về cấp và quản lý thẻ đi lại của doanh nhân APEC.</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xml:space="preserve">10/2011/QĐ-UBND </w:t>
            </w:r>
          </w:p>
        </w:tc>
        <w:tc>
          <w:p/>
          <w:p>
            <w:pPr>
              <w:spacing w:after="0" w:before="0" w:lineRule="auto" w:line="276"/>
              <w:jc w:val="left"/>
            </w:pPr>
            <w:r>
              <w:rPr>
                <w:rFonts w:ascii="Times New Roman" w:hAnsi="Times New Roman" w:cs="Times New Roman" w:eastAsia="Times New Roman"/>
                <w:b w:val="false"/>
                <w:sz w:val="26"/>
              </w:rPr>
              <w:t>Quyết định số 10/2011/QĐ-UBND ngày 28/02/2011 của UBND tỉnh Thái Nguyên ban hành Quy chế về xét cho phép sử dụng và quản lý thẻ đi lại của doanh nhân APEC trên địa bàn tỉnh Thái Nguyên.</w:t>
            </w:r>
          </w:p>
        </w:tc>
        <w:tc>
          <w:p/>
          <w:p>
            <w:pPr>
              <w:spacing w:after="0" w:before="0" w:lineRule="auto" w:line="276"/>
              <w:jc w:val="left"/>
            </w:pPr>
            <w:r>
              <w:rPr>
                <w:rFonts w:ascii="Times New Roman" w:hAnsi="Times New Roman" w:cs="Times New Roman" w:eastAsia="Times New Roman"/>
                <w:b w:val="false"/>
                <w:sz w:val="26"/>
              </w:rPr>
              <w:t>28-02-2011</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48/2019/QĐ-UBND</w:t>
            </w:r>
          </w:p>
        </w:tc>
        <w:tc>
          <w:p/>
          <w:p>
            <w:pPr>
              <w:spacing w:after="0" w:before="0" w:lineRule="auto" w:line="276"/>
              <w:jc w:val="left"/>
            </w:pPr>
            <w:r>
              <w:rPr>
                <w:rFonts w:ascii="Times New Roman" w:hAnsi="Times New Roman" w:cs="Times New Roman" w:eastAsia="Times New Roman"/>
                <w:b w:val="false"/>
                <w:sz w:val="26"/>
              </w:rPr>
              <w:t>Quyết định số 48/2019/QĐ-UBND, ngày 31/12/2019 của UBND tỉnh Thái Nguyên về việc bãi bỏ khoản 1, Điều 4 Quy chế về xét, cho phép sử dụng và quản lý thẻ đi lại của doanh nhân APEC trên địa bàn tỉnh Thái Nguyên ban hành kèm theo Quyết định số 10/2011/QĐ-UBND, ngày 28/02/2011 của Ủy ban nhân dân tỉnh Thái Nguyên</w:t>
            </w:r>
          </w:p>
        </w:tc>
        <w:tc>
          <w:p/>
          <w:p>
            <w:pPr>
              <w:spacing w:after="0" w:before="0" w:lineRule="auto" w:line="276"/>
              <w:jc w:val="left"/>
            </w:pPr>
            <w:r>
              <w:rPr>
                <w:rFonts w:ascii="Times New Roman" w:hAnsi="Times New Roman" w:cs="Times New Roman" w:eastAsia="Times New Roman"/>
                <w:b w:val="false"/>
                <w:sz w:val="26"/>
              </w:rPr>
              <w:t>31-12-2019</w:t>
            </w:r>
          </w:p>
        </w:tc>
        <w:tc>
          <w:p/>
        </w:tc>
      </w:tr>
      <w:tr>
        <w:tc>
          <w:p/>
          <w:p>
            <w:pPr>
              <w:spacing w:after="0" w:before="0" w:lineRule="auto" w:line="276"/>
              <w:jc w:val="left"/>
            </w:pPr>
            <w:r>
              <w:rPr>
                <w:rFonts w:ascii="Times New Roman" w:hAnsi="Times New Roman" w:cs="Times New Roman" w:eastAsia="Times New Roman"/>
                <w:b w:val="false"/>
                <w:sz w:val="26"/>
              </w:rPr>
              <w:t>08/2021/QĐ-UBND</w:t>
            </w:r>
          </w:p>
        </w:tc>
        <w:tc>
          <w:p/>
          <w:p>
            <w:pPr>
              <w:spacing w:after="0" w:before="0" w:lineRule="auto" w:line="276"/>
              <w:jc w:val="left"/>
            </w:pPr>
            <w:r>
              <w:rPr>
                <w:rFonts w:ascii="Times New Roman" w:hAnsi="Times New Roman" w:cs="Times New Roman" w:eastAsia="Times New Roman"/>
                <w:b w:val="false"/>
                <w:sz w:val="26"/>
              </w:rPr>
              <w:t>Về việc sửa đổi, bổ sung một số điều của Quy chế về xét, cho phép sử dụng và quản lý thẻ đi lại của doanh nhân APEC trên địa bàn tỉnh Thái Nguyên ban hành kèm theo Quyết định số 10/2011/QĐ-UBND ngày 28 tháng 02 năm 2011 của Ủy ban nhân dân tỉnh Thái Nguyên</w:t>
            </w:r>
          </w:p>
        </w:tc>
        <w:tc>
          <w:p/>
          <w:p>
            <w:pPr>
              <w:spacing w:after="0" w:before="0" w:lineRule="auto" w:line="276"/>
              <w:jc w:val="left"/>
            </w:pPr>
            <w:r>
              <w:rPr>
                <w:rFonts w:ascii="Times New Roman" w:hAnsi="Times New Roman" w:cs="Times New Roman" w:eastAsia="Times New Roman"/>
                <w:b w:val="false"/>
                <w:sz w:val="26"/>
              </w:rPr>
              <w:t>22-01-2021</w:t>
            </w:r>
          </w:p>
        </w:tc>
        <w:tc>
          <w:p/>
          <w:p>
            <w:pPr>
              <w:spacing w:after="0" w:before="0" w:lineRule="auto" w:line="276"/>
              <w:jc w:val="left"/>
            </w:pPr>
            <w:r>
              <w:rPr>
                <w:rFonts w:ascii="Times New Roman" w:hAnsi="Times New Roman" w:cs="Times New Roman" w:eastAsia="Times New Roman"/>
                <w:b w:val="false"/>
                <w:sz w:val="26"/>
              </w:rPr>
              <w:t>UBND tỉnh Thái Nguyên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với doanh nhân của các doanh nghiệp
10.1.1. Doanh nhân Việt Nam đang làm việc tại các doanh nghiệp nhà nước thuộc thẩm quyền quản lý của Ủy ban nhân dân tỉnh Thái Nguyên.
a) Thành viên Hội đồng thành viên; Tổng Giám đốc, Phó Tổng Giám đốc; Giám đốc, Phó Giám đốc các doanh nghiệp, khu công nghiệp, khu chế xuất, khu kinh tế; Giám đốc, Phó Giám đốc các ngân hàng hoặc chi nhánh ngân hàng;
b) Kế toán trưởng, Trưởng phòng, Phó Trưởng phòng các doanh nghiệp, khu công nghiệp, khu chế xuất, khu kinh tế, ngân hàng; Trưởng chi nhánh của doanh nghiệp hoặc chi nhánh ngân hàng.
10.1.2. Doanh nhân Việt Nam đang làm việc tại các doanh nghiệp được thành lập hợp pháp theo quy định của pháp luật Việt Nam thuộc tỉnh Thái Nguyên: 
a) Chủ doanh nghiệp tư nhân, Chủ tịch Hội đồng thành viên, thành viên Hội đồng thành viên, Chủ tịch Hội đồng quản trị, thành viên Hội đồng quản trị, Tổng Giám đốc hoặc Giám đốc công ty;
b) Chủ tịch Hội đồng quản trị, thành viên Hội đồng quản trị, Giám đốc hoặc Tổng Giám đốc hợp tác xã hoặc liên hợp tác xã;
c) Kế toán trưởng, Trưởng phòng trong các doanh nghiệp; Trưởng chi nhánh của các doanh nghiệp và các chức danh tương đương khác.
10.1.3. Doanh nhân làm việc tại các doanh nghiệp do Bộ, cơ quan ngang Bộ, cơ quan thuộc Chính phủ thành lập nhưng đã được cổ phần hóa, không còn vốn nhà nước chi phối có trụ sở đặt tại tỉnh.
10.2. Cán bộ, công chức, viên chức có nhiệm vụ tham gia các hoạt động của APEC:
a) Chủ tịch, Phó Chủ tịch Ủy ban nhân dân tỉnh có nhiệm vụ tham dự các cuộc họp, hội nghị và các hoạt động về hợp tác, phát triển kinh tế của APEC;
b) Cán bộ, công chức, viên chức có nhiệm vụ tham dự các cuộc họp, hội nghị và các hoạt động về hợp tác, phát triển kinh tế của APEC”.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Doanh nhân APEC (ABTC)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2026-05-26T18:45:13Z</dcterms:created>
  <dc:creator>Apache POI</dc:creator>
</cp:coreProperties>
</file>