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quân nhân, người làm công tác cơ yếu hưởng lương như đối với quân nhân, công an nhân dân nhập ngũ sau ngày 30/4/1975, trực tiếp tham gia chiến tranh bảo vệ Tổ quốc và làm nhiệm vụ quốc tế có từ đủ 20 năm trở lên phục vụ trong quân đội, cơ yếu đã phục viên, xuất ngũ, thôi việc (đối tượng từ trần)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Thân nhân đối tượng nộp hồ sơ theo quy định cho UBND cấp xã nơi đăng ký hộ khẩu thường trú theo từng đợt (mỗi đợt vào ngày đầu tuần trong tuần đầu, tháng đầu của mỗi quý);</w:t>
      </w:r>
    </w:p>
    <w:p>
      <w:pPr>
        <w:spacing w:after="0" w:before="0" w:lineRule="auto" w:line="276"/>
        <w:jc w:val="both"/>
      </w:pPr>
      <w:r>
        <w:rPr>
          <w:rFonts w:ascii="Times New Roman" w:hAnsi="Times New Roman" w:cs="Times New Roman" w:eastAsia="Times New Roman"/>
          <w:b w:val="false"/>
          <w:sz w:val="26"/>
        </w:rPr>
        <w:t>-	UBND cấp xã tổng hợp, lập hồ sơ báo cáo Ban Chỉ huy quân sự cấp huyện;</w:t>
      </w:r>
    </w:p>
    <w:p>
      <w:pPr>
        <w:spacing w:after="0" w:before="0" w:lineRule="auto" w:line="276"/>
        <w:jc w:val="both"/>
      </w:pPr>
      <w:r>
        <w:rPr>
          <w:rFonts w:ascii="Times New Roman" w:hAnsi="Times New Roman" w:cs="Times New Roman" w:eastAsia="Times New Roman"/>
          <w:b w:val="false"/>
          <w:sz w:val="26"/>
        </w:rPr>
        <w:t>-	Ban Chỉ huy quân sự cấp huyện hoàn thành việc xét duyệt, tổng hợp báo cáo Bộ Chỉ huy quân sự cấp tỉnh;</w:t>
      </w:r>
    </w:p>
    <w:p>
      <w:pPr>
        <w:spacing w:after="0" w:before="0" w:lineRule="auto" w:line="276"/>
        <w:jc w:val="both"/>
      </w:pPr>
      <w:r>
        <w:rPr>
          <w:rFonts w:ascii="Times New Roman" w:hAnsi="Times New Roman" w:cs="Times New Roman" w:eastAsia="Times New Roman"/>
          <w:b w:val="false"/>
          <w:sz w:val="26"/>
        </w:rPr>
        <w:t>-	Bộ Chỉ huy quân sự cấp tỉnh hoàn thành việc xét duyệt, hoàn thiện 05 bộ hồ sơ báo cáo Bộ Tư lệnh quân khu; Bộ Tư lệnh Thủ đô Hà Nội tiếp nhận hồ sơ do Ban Chỉ huy quân sự cấp huyện báo cáo (qua Cục Chính trị);</w:t>
      </w:r>
    </w:p>
    <w:p>
      <w:pPr>
        <w:spacing w:after="0" w:before="0" w:lineRule="auto" w:line="276"/>
        <w:jc w:val="both"/>
      </w:pPr>
      <w:r>
        <w:rPr>
          <w:rFonts w:ascii="Times New Roman" w:hAnsi="Times New Roman" w:cs="Times New Roman" w:eastAsia="Times New Roman"/>
          <w:b w:val="false"/>
          <w:sz w:val="26"/>
        </w:rPr>
        <w:t>-	Cấp quân khu, Bộ Tư lệnh Thủ đô Hà Nội hoàn thành việc thẩm định, hoàn thiện hồ sơ chuyển Bảo hiểm xã hội Bộ Quốc phòng;</w:t>
      </w:r>
    </w:p>
    <w:p>
      <w:pPr>
        <w:spacing w:after="0" w:before="0" w:lineRule="auto" w:line="276"/>
        <w:jc w:val="both"/>
      </w:pPr>
      <w:r>
        <w:rPr>
          <w:rFonts w:ascii="Times New Roman" w:hAnsi="Times New Roman" w:cs="Times New Roman" w:eastAsia="Times New Roman"/>
          <w:b w:val="false"/>
          <w:sz w:val="26"/>
        </w:rPr>
        <w:t>-	Bảo hiểm xã hội Bộ Quốc phòng tiến hành xét duyệt, ra quyết định hưởng chế độ trợ cấp một lần cho các đối tượng, chuyển hồ sơ đến Bảo hiểm xã hội Việt Nam và các cơ quan, đơn vị, đối tượng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61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 UBND cấp xã: Không quá 07 ngày làm việc;
- Ban CHQS cấp huyện: Không quá 07 ngày làm việc;
- Bộ CHQS cấp tỉnh: Không quá 07 ngày làm việc;
- Bộ Tư lệnh quân khu, BTL Thủ đô Hà Nội: Không quá 10 ngày làm việc;
- Bảo hiểm xã hội Bộ Quốc phòng: Không quá 30 ngày làm việc.
Tổng thời gian giải quyết ở các cấp là 61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hưởng chế độ một lần (bản chính, 01 bản)</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Một hoặc một số giấy tờ làm căn cứ xét duyệt, đủ yếu tố chứng minh đúng đối tượng, điều kiện hưởng chế độ và thời gian công tác của đối tượng (bản chính hoặc bản sao của cấp có thẩm quyền):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phục viên, xuất ngũ, thôi việc, chuyển ngành, chuyển sang công tác khác trong tổ chức cơ yếu hoặc chuyển sang công nhân viên chức quốc phòng,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lý lịch đảng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 sổ bảo hiểm xã hội; quyết định cấp giấy chứng nhận thương binh và trợ cấp thương tật hoặc bản trích lục hồ sơ thương tật (đối với thương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quân nhân phục viên, xuất ngũ, chuyển ngành, thôi việc do thủ trưởng cơ quan, đơn vị từ cấp Trung đoàn và tương tương trở lên theo phân cấp quản lý đối tượng trước khi phục viên, xuất ngũ hoặc cử đi lao động hợp tác quốc tế, chuyển ngành hoặc chuyển sang công nhân viên chức quốc phòng, ký, đóng dấu, kèm theo bản photocoppy hồ sơ của đối tượng hoặc danh sách đăng ký, quản lý đối tượng mà cơ quan, đơn vị đang lưu trữ để làm căn cứ xác nhận; đối với các đối tượng còn giấy tờ, hồ sơ gốc tại đơn vị cũ thì đơn vị cũ thực hiện việc cấp lại cho đối tượng theo quy định của pháp luật về công chứng, chứng thực hiện hành. Trường hợp cơ quan, đơn vị cũ đã sáp nhập hoặc giải thể thì do cơ quan, đơn vị mới được thành lập sau sáp nhập hoặc cấp trên trực tiếp của cơ quan, đơn vị đã giải thể xác nhận,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tử hoặc giấy báo tử (bản chính hoặc bản sao, 01 bản)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(nếu có; bản chính)</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chỉ huy quân sự các cấp (huyện, tỉnh, quân khu và BTL Thủ đô Hà Nội)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23/2012/NĐ-CP</w:t>
            </w:r>
          </w:p>
        </w:tc>
        <w:tc>
          <w:p/>
          <w:p>
            <w:pPr>
              <w:spacing w:after="0" w:before="0" w:lineRule="auto" w:line="276"/>
              <w:jc w:val="left"/>
            </w:pPr>
            <w:r>
              <w:rPr>
                <w:rFonts w:ascii="Times New Roman" w:hAnsi="Times New Roman" w:cs="Times New Roman" w:eastAsia="Times New Roman"/>
                <w:b w:val="false"/>
                <w:sz w:val="26"/>
              </w:rPr>
              <w:t>Quy định một số chế độ đối với đối tượng tham gia chiến tranh bảo vệ Tổ quốc, làm nhiệm vụ quốc tế ở Căm-pu-chi-a, giúp bạn Lào sau  ngày 30 tháng 4 năm 1975 có từ đủ 20 năm trở lên phục vụ trong quân đội, công an đã phục viên, xuất ngũ, thôi việc</w:t>
            </w:r>
          </w:p>
        </w:tc>
        <w:tc>
          <w:p/>
          <w:p>
            <w:pPr>
              <w:spacing w:after="0" w:before="0" w:lineRule="auto" w:line="276"/>
              <w:jc w:val="left"/>
            </w:pPr>
            <w:r>
              <w:rPr>
                <w:rFonts w:ascii="Times New Roman" w:hAnsi="Times New Roman" w:cs="Times New Roman" w:eastAsia="Times New Roman"/>
                <w:b w:val="false"/>
                <w:sz w:val="26"/>
              </w:rPr>
              <w:t>03-04-2012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102/2012/TTLT-BQP-BLĐTBXH-BTC</w:t>
            </w:r>
          </w:p>
        </w:tc>
        <w:tc>
          <w:p/>
          <w:p>
            <w:pPr>
              <w:spacing w:after="0" w:before="0" w:lineRule="auto" w:line="276"/>
              <w:jc w:val="left"/>
            </w:pPr>
            <w:r>
              <w:rPr>
                <w:rFonts w:ascii="Times New Roman" w:hAnsi="Times New Roman" w:cs="Times New Roman" w:eastAsia="Times New Roman"/>
                <w:b w:val="false"/>
                <w:sz w:val="26"/>
              </w:rPr>
              <w:t>Hướng dẫn thực hiện chế độ đối với quân nhân, người làm công tác cơ yếu hưởng lương như đối với quân nhân, công an nhân dân tham gia chiến tranh bảo vệ Tổ quốc, làm nhiệm vụ quốc tế ở Căm-pu-chi-a, giúp bạn Lào sau ngày 30 tháng 4 năm 1975 có từ đủ 20 năm trở lên phục vụ trong quân đội, cơ yếu đã phục viên, xuất ngũ, thôi việc</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hưởng lương như đối với quân nhân, công an nhân dân nhập ngũ, tuyển dụng sau ngày 30/4/1975, trực tiếp tham gia chiến tranh bảo vệ Tổ quốc và làm nhiệm vụ quốc tế, có từ đủ 20 năm trở lên phục vụ trong quân đội, cơ yếu đã phục viên, xuất ngũ, thôi việc (đối tượng đã từ trần).
-	Không thuộc diện hưởng chế độ hưu trí, mất sức lao động, bệnh binh hàng tháng.
-	Không thuộc các trường hợp sau: Đào ngũ, đầu hàng, phản bội, chiêu hồi; bị tước danh hiệu quân nhân, bị buộc thôi việc; từ trần khi thi hành án tù hoặc từ trần khi ở tại nước ngoài do đi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2026-05-23T16:45:41Z</dcterms:created>
  <dc:creator>Apache POI</dc:creator>
</cp:coreProperties>
</file>