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1.003644.000.00.00.H36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1992/QĐ-UBND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đối với cơ sở khám bệnh, chữa bệnh khi thay đổi địa điểm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(GPHĐ)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theo quy định tại mẫu số 09 Phụ lục XI ban hành kèm theo Nghị định số 109/2016/NĐ-CP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đối với bệnh viện, 45 ngày đối với các hình thức tổ chức khám bệnh, chữa bệnh khác, kể từ ngày nhận đủ hồ sơ, Sở Y tế sẽ xem xét thẩm định hồ sơ và thẩm định tại cơ sở để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GPHĐ, Sở Y tế phải có văn bản trả lời và nêu lý do.
</w:t>
      </w:r>
    </w:p>
    <w:p>
      <w:pPr>
        <w:spacing w:after="0" w:before="0" w:lineRule="auto" w:line="276"/>
        <w:jc w:val="both"/>
      </w:pPr>
      <w:r>
        <w:rPr>
          <w:rFonts w:ascii="Times New Roman" w:hAnsi="Times New Roman" w:cs="Times New Roman" w:eastAsia="Times New Roman"/>
          <w:b w:val="false"/>
          <w:sz w:val="26"/>
        </w:rPr>
        <w:t xml:space="preserve">Bước 4 : Trả GPHĐ cho cơ sở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10.500.000 Đồng</w:t>
              <w:t xml:space="preserve"> (Phí thẩm định Bệnh viện)</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3.100.000 Đồng</w:t>
              <w:t xml:space="preserve"> (Phí thẩm định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3.100.000 Đồng</w:t>
              <w:t xml:space="preserve"> (Phí thẩm định Phòng khám chuyên khoa y học cổ truyền)</w:t>
            </w:r>
          </w:p>
          <w:p>
            <w:pPr>
              <w:spacing w:after="0" w:before="0" w:lineRule="auto" w:line="276"/>
              <w:jc w:val="left"/>
            </w:pPr>
            <w:r>
              <w:rPr>
                <w:rFonts w:ascii="Times New Roman" w:hAnsi="Times New Roman" w:cs="Times New Roman" w:eastAsia="Times New Roman"/>
                <w:b w:val="false"/>
                <w:sz w:val="26"/>
              </w:rPr>
              <w:t>Phí : 4.300.000 Đồng</w:t>
              <w:t xml:space="preserve"> (Phí thẩm định Phòng khám chuyên khoa, Phòng khám, tư vấn và Điều trị dự phòng, Phòng khám, Điều trị bệnh nghề nghiệp, Phòng chẩn đoán hình ảnh, phòng X quang, Phòng xét nghiệm, Cơ sở dịch vụ y tế,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5.700.000 Đồng</w:t>
              <w:t xml:space="preserve"> (Phí thẩm định Phòng khám đa khoa, nhà hộ sinh, bệnh xá thuộc lực lượng Công an nhân dân, cơ sở khám bệnh, chữa bệnh y học gia đình (hoặc cơ sở khám bệnh, chữa bệnh theo nguyên lý y học gia đình))</w:t>
            </w:r>
          </w:p>
        </w:tc>
        <w:tc>
          <w:p/>
          <w:p>
            <w:pPr>
              <w:spacing w:after="0" w:before="0" w:lineRule="auto" w:line="276"/>
              <w:jc w:val="left"/>
            </w:pPr>
            <w:r>
              <w:rPr>
                <w:rFonts w:ascii="Times New Roman" w:hAnsi="Times New Roman" w:cs="Times New Roman" w:eastAsia="Times New Roman"/>
                <w:b w:val="false"/>
                <w:sz w:val="26"/>
              </w:rPr>
              <w:t>45 ngày đối với các hình thức tổ chức khám bệnh, chữa bệnh khác,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10.500.000 Đồng</w:t>
              <w:t xml:space="preserve"> (Phí thẩm định Bệnh viện)</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3.100.000 Đồng</w:t>
              <w:t xml:space="preserve"> (Phí thẩm định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3.100.000 Đồng</w:t>
              <w:t xml:space="preserve"> (Phí thẩm định Phòng khám chuyên khoa y học cổ truyền)</w:t>
            </w:r>
          </w:p>
          <w:p>
            <w:pPr>
              <w:spacing w:after="0" w:before="0" w:lineRule="auto" w:line="276"/>
              <w:jc w:val="left"/>
            </w:pPr>
            <w:r>
              <w:rPr>
                <w:rFonts w:ascii="Times New Roman" w:hAnsi="Times New Roman" w:cs="Times New Roman" w:eastAsia="Times New Roman"/>
                <w:b w:val="false"/>
                <w:sz w:val="26"/>
              </w:rPr>
              <w:t>Phí : 4.300.000 Đồng</w:t>
              <w:t xml:space="preserve"> (Phí thẩm định Phòng khám chuyên khoa, Phòng khám, tư vấn và Điều trị dự phòng, Phòng khám, Điều trị bệnh nghề nghiệp, Phòng chẩn đoán hình ảnh, phòng X quang, Phòng xét nghiệm, Cơ sở dịch vụ y tế,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5.700.000 Đồng</w:t>
              <w:t xml:space="preserve"> (Phí thẩm định Phòng khám đa khoa, nhà hộ sinh, bệnh xá thuộc lực lượng Công an nhân dân, cơ sở khám bệnh, chữa bệnh y học gia đình (hoặc cơ sở khám bệnh, chữa bệnh theo nguyên lý y học gia đình))</w:t>
            </w:r>
          </w:p>
        </w:tc>
        <w:tc>
          <w:p/>
          <w:p>
            <w:pPr>
              <w:spacing w:after="0" w:before="0" w:lineRule="auto" w:line="276"/>
              <w:jc w:val="left"/>
            </w:pPr>
            <w:r>
              <w:rPr>
                <w:rFonts w:ascii="Times New Roman" w:hAnsi="Times New Roman" w:cs="Times New Roman" w:eastAsia="Times New Roman"/>
                <w:b w:val="false"/>
                <w:sz w:val="26"/>
              </w:rPr>
              <w:t>45 ngày đối với các hình thức tổ chức khám bệnh, chữa bệnh khác,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10.500.000 Đồng</w:t>
              <w:t xml:space="preserve"> (Phí thẩm định Bệnh viện)</w:t>
            </w:r>
          </w:p>
        </w:tc>
        <w:tc>
          <w:p/>
          <w:p>
            <w:pPr>
              <w:spacing w:after="0" w:before="0" w:lineRule="auto" w:line="276"/>
              <w:jc w:val="left"/>
            </w:pPr>
            <w:r>
              <w:rPr>
                <w:rFonts w:ascii="Times New Roman" w:hAnsi="Times New Roman" w:cs="Times New Roman" w:eastAsia="Times New Roman"/>
                <w:b w:val="false"/>
                <w:sz w:val="26"/>
              </w:rPr>
              <w:t>Trong thời hạn 60 ngày đối với bệnh viện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3.100.000 Đồng</w:t>
              <w:t xml:space="preserve"> (Phí thẩm định Phòng chẩn trị y học cổ truyền, Trạm y tế cấp xã, trạm xá và tương đương)</w:t>
            </w:r>
          </w:p>
          <w:p>
            <w:pPr>
              <w:spacing w:after="0" w:before="0" w:lineRule="auto" w:line="276"/>
              <w:jc w:val="left"/>
            </w:pPr>
            <w:r>
              <w:rPr>
                <w:rFonts w:ascii="Times New Roman" w:hAnsi="Times New Roman" w:cs="Times New Roman" w:eastAsia="Times New Roman"/>
                <w:b w:val="false"/>
                <w:sz w:val="26"/>
              </w:rPr>
              <w:t>Phí : 3.100.000 Đồng</w:t>
              <w:t xml:space="preserve"> (Phí thẩm định Phòng khám chuyên khoa y học cổ truyền)</w:t>
            </w:r>
          </w:p>
          <w:p>
            <w:pPr>
              <w:spacing w:after="0" w:before="0" w:lineRule="auto" w:line="276"/>
              <w:jc w:val="left"/>
            </w:pPr>
            <w:r>
              <w:rPr>
                <w:rFonts w:ascii="Times New Roman" w:hAnsi="Times New Roman" w:cs="Times New Roman" w:eastAsia="Times New Roman"/>
                <w:b w:val="false"/>
                <w:sz w:val="26"/>
              </w:rPr>
              <w:t>Phí : 4.300.000 Đồng</w:t>
              <w:t xml:space="preserve"> (Phí thẩm định Phòng khám chuyên khoa, Phòng khám, tư vấn và Điều trị dự phòng, Phòng khám, Điều trị bệnh nghề nghiệp, Phòng chẩn đoán hình ảnh, phòng X quang, Phòng xét nghiệm, Cơ sở dịch vụ y tế, Các hình thức tổ chức khám bệnh, chữa bệnh khác)</w:t>
            </w:r>
          </w:p>
          <w:p>
            <w:pPr>
              <w:spacing w:after="0" w:before="0" w:lineRule="auto" w:line="276"/>
              <w:jc w:val="left"/>
            </w:pPr>
            <w:r>
              <w:rPr>
                <w:rFonts w:ascii="Times New Roman" w:hAnsi="Times New Roman" w:cs="Times New Roman" w:eastAsia="Times New Roman"/>
                <w:b w:val="false"/>
                <w:sz w:val="26"/>
              </w:rPr>
              <w:t>Phí : 5.700.000 Đồng</w:t>
              <w:t xml:space="preserve"> (Phí thẩm định Phòng khám đa khoa, nhà hộ sinh, bệnh xá thuộc lực lượng Công an nhân dân, cơ sở khám bệnh, chữa bệnh y học gia đình (hoặc cơ sở khám bệnh, chữa bệnh theo nguyên lý y học gia đình))</w:t>
            </w:r>
          </w:p>
        </w:tc>
        <w:tc>
          <w:p/>
          <w:p>
            <w:pPr>
              <w:spacing w:after="0" w:before="0" w:lineRule="auto" w:line="276"/>
              <w:jc w:val="left"/>
            </w:pPr>
            <w:r>
              <w:rPr>
                <w:rFonts w:ascii="Times New Roman" w:hAnsi="Times New Roman" w:cs="Times New Roman" w:eastAsia="Times New Roman"/>
                <w:b w:val="false"/>
                <w:sz w:val="26"/>
              </w:rPr>
              <w:t>45 ngày đối với các hình thức tổ chức khám bệnh, chữa bệnh khác,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04 Phụ lục XI ban hành kèm theo Nghị định 109/2016/NĐ-CP;</w:t>
            </w:r>
          </w:p>
        </w:tc>
        <w:tc>
          <w:p/>
          <w:p>
            <w:pPr>
              <w:spacing w:after="0" w:before="0" w:lineRule="auto" w:line="276"/>
              <w:jc w:val="left"/>
            </w:pPr>
            <w:r>
              <w:rPr>
                <w:rFonts w:ascii="Times New Roman" w:hAnsi="Times New Roman" w:cs="Times New Roman" w:eastAsia="Times New Roman"/>
                <w:b w:val="false"/>
                <w:sz w:val="26"/>
              </w:rPr>
              <w:t>ND109_2016_mau 04_Phu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quyết định thành lập hoặc văn bản có tên của cơ sở khám bệnh, chữa bệnh của cơ quan nhà nước có thẩm quyền đối với cơ sở khám bệnh, chữa bệnh của Nhà nước hoặc giấy chứng nhận đăng ký doanh nghiệp đối với cơ sở khám bệnh, chữa bệnh tư nhân hoặc giấy chứng nhận đầu tư đối với cơ sở khám bệnh, chữa bệnh có vốn đầu tư nước ngoài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hợp lệ chứng chỉ hành nghề của người chịu trách nhiệm chuyên môn kỹ thuật của cơ sở khám bệnh, chữa bệnh; người phụ trách bộ phận chuyên môn của cơ sở khám bệnh, chữa bệnh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đăng ký người hành nghề tại cơ sở khám bệnh, chữa bệnh (bao gồm đăng ký người hành nghề và người làm việc chuyên môn y tế tại cơ sở nhưng không thuộc diện phải cấp chứng chỉ hành nghề) theo mẫu quy định tại Phụ lục IV ban hành kèm theo Nghị định 109/2016/NĐ-CP (nếu có sự thay đổi so với hồ sơ trước đây).</w:t>
            </w:r>
          </w:p>
        </w:tc>
        <w:tc>
          <w:p/>
          <w:p>
            <w:pPr>
              <w:spacing w:after="0" w:before="0" w:lineRule="auto" w:line="276"/>
              <w:jc w:val="left"/>
            </w:pPr>
            <w:r>
              <w:rPr>
                <w:rFonts w:ascii="Times New Roman" w:hAnsi="Times New Roman" w:cs="Times New Roman" w:eastAsia="Times New Roman"/>
                <w:b w:val="false"/>
                <w:sz w:val="26"/>
              </w:rPr>
              <w:t>Phụ lục số IV_ND109.docx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tổ chức và nhân sự của cơ sở khám bệnh, chữa bệnh theo Mẫu 02 Phụ lục XI ban hành kèm theo Nghị định 109/2016/NĐ-CP (nếu có sự thay đổi so với hồ sơ trước đây).</w:t>
            </w:r>
          </w:p>
        </w:tc>
        <w:tc>
          <w:p/>
          <w:p>
            <w:pPr>
              <w:spacing w:after="0" w:before="0" w:lineRule="auto" w:line="276"/>
              <w:jc w:val="left"/>
            </w:pPr>
            <w:r>
              <w:rPr>
                <w:rFonts w:ascii="Times New Roman" w:hAnsi="Times New Roman" w:cs="Times New Roman" w:eastAsia="Times New Roman"/>
                <w:b w:val="false"/>
                <w:sz w:val="26"/>
              </w:rPr>
              <w:t>ND109_2016_mau 02_Phu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mẫu quy định của Bộ trưởng Bộ Y tế; đối với bệnh viện tư nhân thực hiện theo Mẫu 03 Phụ lục XI ban hành kèm theo Nghị định 109/2016/NĐ-CP và phương án hoạt động ban đầu đối với bệnh viện (nếu có sự thay đổi so với hồ sơ trước đây).</w:t>
            </w:r>
          </w:p>
        </w:tc>
        <w:tc>
          <w:p/>
          <w:p>
            <w:pPr>
              <w:spacing w:after="0" w:before="0" w:lineRule="auto" w:line="276"/>
              <w:jc w:val="left"/>
            </w:pPr>
            <w:r>
              <w:rPr>
                <w:rFonts w:ascii="Times New Roman" w:hAnsi="Times New Roman" w:cs="Times New Roman" w:eastAsia="Times New Roman"/>
                <w:b w:val="false"/>
                <w:sz w:val="26"/>
              </w:rPr>
              <w:t>ND109_Mau3_Phu luc XI.docx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lệ hợp đồng vận chuyển người bệnh đối với bệnh viện, nhà hộ sinh không có phương tiện vận chuyển cấp cứu ngoài cơ sở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mục chuyên môn kỹ thuật của cơ sở khám bệnh, chữa bệnh đề xuất trên cơ sở danh mục chuyên môn kỹ thuật do Bộ trưởng Bộ Y tế ban hành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cơ sở dịch vụ cấp cứu, hỗ trợ vận chuyển người bệnh: Bản sao hợp lệ hợp đồng hỗ trợ chuyên môn với bệnh viện. Trong trường hợp có cung cấp dịch vụ vận chuyển người bệnh ra nước ngoài cần có bản sao hợp lệ hợp đồng vận chuyển người bệnh với công ty dịch vụ hàng không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Nghị định 109/2016/NĐ-CP (nếu có sự thay đổi so với hồ sơ trước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109/2016/NĐ-CP</w:t>
            </w:r>
          </w:p>
        </w:tc>
        <w:tc>
          <w:p/>
          <w:p>
            <w:pPr>
              <w:spacing w:after="0" w:before="0" w:lineRule="auto" w:line="276"/>
              <w:jc w:val="left"/>
            </w:pPr>
            <w:r>
              <w:rPr>
                <w:rFonts w:ascii="Times New Roman" w:hAnsi="Times New Roman" w:cs="Times New Roman" w:eastAsia="Times New Roman"/>
                <w:b w:val="false"/>
                <w:sz w:val="26"/>
              </w:rPr>
              <w:t>Nghị định 109/2016/NĐ-CP-Quy định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2026-05-28T18:06:38Z</dcterms:created>
  <dc:creator>Apache POI</dc:creator>
</cp:coreProperties>
</file>