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2.000361.000.00.00.H36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lập cơ sở bán lẻ thứ nhất, cơ sở bán lẻ ngoài cơ sở bán lẻ thứ nhất thuộc trường hợp không phải thực hiện thủ tục kiểm tra nhu cầu kinh tế (ENT)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quốc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Hồ sơ gửi trực tiếp hoặc qua đường bưu chính hoặc qua mạng điện tử (nếu đủ điều kiện áp dụng) đến Cơ quan cấp Giấy phép.</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được hồ sơ, Cơ quan cấp Giấy phép kiểm tra và yêu cầu sửa đổi, bổ sung nếu hồ sơ chưa đủ và hợp lệ.</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được hồ sơ đủ và hợp lệ, Cơ quan cấp Giấy phép kiểm tra việc đáp ứng điều kiện quy định tại khoản 1 Điều 22 Nghị định số 09/2018/NĐ-CP:</w:t>
      </w:r>
    </w:p>
    <w:p>
      <w:pPr>
        <w:spacing w:after="0" w:before="0" w:lineRule="auto" w:line="276"/>
        <w:jc w:val="both"/>
      </w:pPr>
      <w:r>
        <w:rPr>
          <w:rFonts w:ascii="Times New Roman" w:hAnsi="Times New Roman" w:cs="Times New Roman" w:eastAsia="Times New Roman"/>
          <w:b w:val="false"/>
          <w:sz w:val="26"/>
        </w:rPr>
        <w:t>- Trường hợp không đáp ứng điều kiện, Cơ quan cấp Giấy phép có văn bản trả lời và nêu rõ lý do;</w:t>
      </w:r>
    </w:p>
    <w:p>
      <w:pPr>
        <w:spacing w:after="0" w:before="0" w:lineRule="auto" w:line="276"/>
        <w:jc w:val="both"/>
      </w:pPr>
      <w:r>
        <w:rPr>
          <w:rFonts w:ascii="Times New Roman" w:hAnsi="Times New Roman" w:cs="Times New Roman" w:eastAsia="Times New Roman"/>
          <w:b w:val="false"/>
          <w:sz w:val="26"/>
        </w:rPr>
        <w:t>-  Trường hợp đáp ứng điều kiện, Cơ quan cấp Giấy phép gửi hồ sơ kèm văn bản lấy ý kiến Bộ Công Thương (Mẫu số 09 Phụ lục ban hành kèm theo Nghị định này).</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Bộ Công Thương căn cứ vào nội dung tương ứng quy định tại Điều 25 Nghị định số 09/2018/NĐ-CP để có văn bản chấp thuận cấp Giấy phép lập cơ sở bán lẻ; trường hợp từ chối phải có văn bản trả lời và nêu rõ lý do (Mẫu số 10 Phụ lục ban hành kèm theo Nghị định số 09/2018/NĐ-CP).</w:t>
      </w:r>
    </w:p>
    <w:p>
      <w:pPr>
        <w:spacing w:after="0" w:before="0" w:lineRule="auto" w:line="276"/>
        <w:jc w:val="both"/>
      </w:pPr>
      <w:r>
        <w:rPr>
          <w:rFonts w:ascii="Times New Roman" w:hAnsi="Times New Roman" w:cs="Times New Roman" w:eastAsia="Times New Roman"/>
          <w:b w:val="false"/>
          <w:sz w:val="26"/>
        </w:rPr>
        <w:t xml:space="preserve">- Trong thời hạn 03 ngày làm việc kể từ ngày nhận được văn bản chấp thuận của Bộ Công Thương, Cơ quan cấp Giấy phép cấp Giấy phép lập cơ sở bán lẻ. Trường hợp Bộ Công Thương từ chối, Cơ quan cấp Giấy phép phải có văn bản trả lời và nêu rõ lý do.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Địa điểm lập cơ sở bán lẻ: địa chỉ cơ sở bán lẻ; mô tả khu vực chung, có liên quan và khu vực sử dụng để lập cơ sở bán lẻ; giải trình việc đáp ứng điều kiện quy định tại điểm c khoản 1 Điều 22 Nghị định số 09/2018/NĐ-CP; kèm theo tài liệu về địa điểm lập cơ sở bán lẻ;</w:t>
            </w:r>
          </w:p>
        </w:tc>
        <w:tc>
          <w:p/>
          <w:p>
            <w:pPr>
              <w:spacing w:after="0" w:before="0" w:lineRule="auto" w:line="276"/>
              <w:jc w:val="left"/>
            </w:pPr>
            <w:r>
              <w:rPr>
                <w:rFonts w:ascii="Times New Roman" w:hAnsi="Times New Roman" w:cs="Times New Roman" w:eastAsia="Times New Roman"/>
                <w:b w:val="false"/>
                <w:sz w:val="26"/>
              </w:rPr>
              <w:t>10CV- Bộ trả lời Sở.doc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kinh doanh tại cơ sở bán lẻ: trình bày kế hoạch kinh doanh và phát triển thị trường; nhu cầu về lao động; đánh giá tác động, hiệu quả kinh tế - xã hội của kế hoạch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Kế hoạch tài chính cho việc lập cơ sở bán lẻ: báo cáo kết quả hoạt động kinh doanh trên cơ sở báo cáo tài chính đã được kiểm toán của năm gần nhất trong trường hợp đã thành lập ở Việt Nam từ 01 năm trở lên; giải trình về vốn, nguồn vốn và phương án huy động vốn; kèm theo tài liệu về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của cơ quan thuế chứng minh không còn nợ thuế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Giấy chứng nhận đăng ký đầu tư dự án lập cơ sở bán lẻ (nếu có), Giấy phép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cấp Giấy phép lập cơ sở bán lẻ (Mẫu số 04 Phụ lục ban hành kèm theo Nghị định số 09/2018/NĐ-CP).</w:t>
            </w:r>
          </w:p>
        </w:tc>
        <w:tc>
          <w:p/>
          <w:p>
            <w:pPr>
              <w:spacing w:after="0" w:before="0" w:lineRule="auto" w:line="276"/>
              <w:jc w:val="left"/>
            </w:pPr>
            <w:r>
              <w:rPr>
                <w:rFonts w:ascii="Times New Roman" w:hAnsi="Times New Roman" w:cs="Times New Roman" w:eastAsia="Times New Roman"/>
                <w:b w:val="false"/>
                <w:sz w:val="26"/>
              </w:rPr>
              <w:t>04MĐ-Đơn cấp GPBL.doc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giải trình có nội dung:</w:t>
            </w:r>
          </w:p>
        </w:tc>
        <w:tc>
          <w:p/>
          <w:p>
            <w:pPr>
              <w:spacing w:after="0" w:before="0" w:lineRule="auto" w:line="276"/>
              <w:jc w:val="left"/>
            </w:pPr>
            <w:r>
              <w:rPr>
                <w:rFonts w:ascii="Times New Roman" w:hAnsi="Times New Roman" w:cs="Times New Roman" w:eastAsia="Times New Roman"/>
                <w:b w:val="false"/>
                <w:sz w:val="26"/>
              </w:rPr>
              <w:t>09CV-Sở hỏi Bộ.doc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LẬP CƠ SỞ BÁN LẺ</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36/2005/QH11</w:t>
            </w:r>
          </w:p>
        </w:tc>
        <w:tc>
          <w:p/>
          <w:p>
            <w:pPr>
              <w:spacing w:after="0" w:before="0" w:lineRule="auto" w:line="276"/>
              <w:jc w:val="left"/>
            </w:pPr>
            <w:r>
              <w:rPr>
                <w:rFonts w:ascii="Times New Roman" w:hAnsi="Times New Roman" w:cs="Times New Roman" w:eastAsia="Times New Roman"/>
                <w:b w:val="false"/>
                <w:sz w:val="26"/>
              </w:rPr>
              <w:t>Luật 36/2005/QH11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05/2017/QH14</w:t>
            </w:r>
          </w:p>
        </w:tc>
        <w:tc>
          <w:p/>
          <w:p>
            <w:pPr>
              <w:spacing w:after="0" w:before="0" w:lineRule="auto" w:line="276"/>
              <w:jc w:val="left"/>
            </w:pPr>
            <w:r>
              <w:rPr>
                <w:rFonts w:ascii="Times New Roman" w:hAnsi="Times New Roman" w:cs="Times New Roman" w:eastAsia="Times New Roman"/>
                <w:b w:val="false"/>
                <w:sz w:val="26"/>
              </w:rPr>
              <w:t>Luật quản lý ngoại thương</w:t>
            </w:r>
          </w:p>
        </w:tc>
        <w:tc>
          <w:p/>
          <w:p>
            <w:pPr>
              <w:spacing w:after="0" w:before="0" w:lineRule="auto" w:line="276"/>
              <w:jc w:val="left"/>
            </w:pPr>
            <w:r>
              <w:rPr>
                <w:rFonts w:ascii="Times New Roman" w:hAnsi="Times New Roman" w:cs="Times New Roman" w:eastAsia="Times New Roman"/>
                <w:b w:val="false"/>
                <w:sz w:val="26"/>
              </w:rPr>
              <w:t>12-06-2017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03/2016/QH14</w:t>
            </w:r>
          </w:p>
        </w:tc>
        <w:tc>
          <w:p/>
          <w:p>
            <w:pPr>
              <w:spacing w:after="0" w:before="0" w:lineRule="auto" w:line="276"/>
              <w:jc w:val="left"/>
            </w:pPr>
            <w:r>
              <w:rPr>
                <w:rFonts w:ascii="Times New Roman" w:hAnsi="Times New Roman" w:cs="Times New Roman" w:eastAsia="Times New Roman"/>
                <w:b w:val="false"/>
                <w:sz w:val="26"/>
              </w:rPr>
              <w:t>Luật sửa đổi, bổ sung Điều 6 và Phụ lục 4 về Danh mục ngành, nghề đầu tư kinh doanh có điều kiện của Luật đầu tư</w:t>
            </w:r>
          </w:p>
        </w:tc>
        <w:tc>
          <w:p/>
          <w:p>
            <w:pPr>
              <w:spacing w:after="0" w:before="0" w:lineRule="auto" w:line="276"/>
              <w:jc w:val="left"/>
            </w:pPr>
            <w:r>
              <w:rPr>
                <w:rFonts w:ascii="Times New Roman" w:hAnsi="Times New Roman" w:cs="Times New Roman" w:eastAsia="Times New Roman"/>
                <w:b w:val="false"/>
                <w:sz w:val="26"/>
              </w:rPr>
              <w:t>22-11-2016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09/2018/NĐ-CP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và Luật Quản lý ngoại thương về hoạt động mua bán hàng hóa và các hoạt động liên quan trực tiếp đến mua bán hàng hóa của nhà đầu tư nước ngoài, tổ chức kinh tế có vốn đầu tư nước ngoài tại Việt Nam</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146/2025/NĐ-CP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công nghiệp và thương mại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kế hoạch về tài chính để lập cơ sở bán lẻ;
- Không còn nợ thuế quá hạn trong trường hợp đã được thành lập tại Việt Nam từ 01 năm trở lên;
- Địa điểm lập cơ sở bán lẻ phù hợp với quy hoạch có liên quan tại khu vực thị trường địa lý.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2026-05-22T16:05:05Z</dcterms:created>
  <dc:creator>Apache POI</dc:creator>
</cp:coreProperties>
</file>