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3 ngày làm việc đối với việc thay đổi, cải chính hộ tịch, xác định lại dân tộc; ngay trong ngày làm việc đối với việc bổ sung hộ tịch, nếu thấy việc thay đổi, cải chính, bổ sung hộ tịch, xác định lại dân tộc là có cơ sở, phù hợp với quy định của pháp luật dân sự và pháp luật có liên quan, Phòng Tư pháp báo cáo Chủ tịch Ủy ban nhân dân cấp huyện. Trường hợp Chủ tịch Ủy ban nhân dân cấp huyện đồng ý giải quyết thì ký Trích lục thay đổi/cải chính/bổ sung hộ tịch/xác định lại dân tộc tương ứng cấp cho người có yêu cầu; công chức làm công tác hộ tịch ghi vào Sổ đăng ký thay đổi, cải chính, bổ sung hộ tịch, xác định lại dân tộc và cùng người đi đăng ký hộ tịch ký vào Sổ.</w:t>
      </w:r>
    </w:p>
    <w:p>
      <w:pPr>
        <w:spacing w:after="0" w:before="0" w:lineRule="auto" w:line="276"/>
        <w:jc w:val="both"/>
      </w:pPr>
      <w:r>
        <w:rPr>
          <w:rFonts w:ascii="Times New Roman" w:hAnsi="Times New Roman" w:cs="Times New Roman" w:eastAsia="Times New Roman"/>
          <w:b w:val="false"/>
          <w:sz w:val="26"/>
        </w:rPr>
        <w:t>Người có yêu cầu thay đổi, cải chính, bổ sung hộ tịch, xác định lại dân tộc nộp hồ sơ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25.000 Đồng</w:t>
              <w:t xml:space="preserve"> (Không quá 25.000 đồng/việc)</w:t>
              <w:br/>
              <w:t>File đính kèm: NQ 26.2017.NQ-HĐND.pdf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 Ủy ban nhân dân cấp huyện. Người có yêu cầu có thể ủy quyền cho người khác nộp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Lệ phí : 25.000 Đồng</w:t>
              <w:t xml:space="preserve"> (Không quá 25.000 đồng/việc)</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 Ủy ban nhân dân cấp huyện. Người có yêu cầu có thể ủy quyền cho người khác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25.000 Đồng</w:t>
              <w:t xml:space="preserve"> (Không quá 25.000 đồng/việc)</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Lệ phí : 25.000 Đồng</w:t>
              <w:t xml:space="preserve"> (Không quá 25.000 đồng/việc)</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25.000 Đồng</w:t>
              <w:t xml:space="preserve"> (Không quá 25.000 đồng/việc)</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Gửi hồ sơ qua hệ thống bưu chính đến Ủy ban nhân dân cấp huyện. Người có yêu cầu có thể ủy quyền cho người khác nộp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Lệ phí : 25.000 Đồng</w:t>
              <w:t xml:space="preserve"> (Không quá 25.000 đồng/việc)</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Gửi hồ sơ qua hệ thống bưu chính đến Ủy ban nhân dân cấp huyện. Người có yêu cầu có thể ủy quyền cho người khác nộp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Ủy ban nhân dân cấp huyện hoặc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09/2018/NQ-HĐND </w:t>
            </w:r>
          </w:p>
        </w:tc>
        <w:tc>
          <w:p/>
          <w:p>
            <w:pPr>
              <w:spacing w:after="0" w:before="0" w:lineRule="auto" w:line="276"/>
              <w:jc w:val="left"/>
            </w:pPr>
            <w:r>
              <w:rPr>
                <w:rFonts w:ascii="Times New Roman" w:hAnsi="Times New Roman" w:cs="Times New Roman" w:eastAsia="Times New Roman"/>
                <w:b w:val="false"/>
                <w:sz w:val="26"/>
              </w:rPr>
              <w:t>Nghị quyết 09/2018/NQ-HĐND</w:t>
            </w:r>
          </w:p>
        </w:tc>
        <w:tc>
          <w:p/>
          <w:p>
            <w:pPr>
              <w:spacing w:after="0" w:before="0" w:lineRule="auto" w:line="276"/>
              <w:jc w:val="left"/>
            </w:pPr>
            <w:r>
              <w:rPr>
                <w:rFonts w:ascii="Times New Roman" w:hAnsi="Times New Roman" w:cs="Times New Roman" w:eastAsia="Times New Roman"/>
                <w:b w:val="false"/>
                <w:sz w:val="26"/>
              </w:rPr>
              <w:t>05-12-2018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2026-05-07T05:45:06Z</dcterms:created>
  <dc:creator>Apache POI</dc:creator>
</cp:coreProperties>
</file>