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GPXD đối với công trình, nhà ở riêng lẻ xây dựng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Trong thời hạn 07 ngày làm việc kể từ ngày nhận được hồ sơ, đơn vị được giao thẩm định hồ sơ có trách nhiệm xem xét hồ sơ, kiểm tra thực địa. Khi thẩm định hồ sơ, UBND cấp huyện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UBND cấp huyện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UBND cấp huyện có trách nhiệm thông báo đến chủ đầu tư về lý do không cấp giấy phép;
- Căn cứ quy mô, tính chất, loại công trình và địa điểm xây dựng công trình có trong hồ sơ đề nghị cấp giấy phép xây dựng, UBND cấp huyện có trách nhiệm đối chiếu các điều kiện theo quy định để gửi văn bản lấy ý kiến của các cơ quan quản lý nhà nước về những lĩnh vực liên quan đến công trình xây dựng theo quy định của pháp luật;
-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huyện  căn cứ các quy định hiện hành để quyết định việc cấp giấy phép xây dựng.
- Kể từ ngày nhận đủ hồ sơ hợp lệ, UBND cấp huyện phải xem xét hồ sơ để cấp giấy phép trong thời gian 15 ngày đối với nhà ở riêng lẻ và trong thời gian 30 ngày đối với công trình khác.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w:t>
      </w:r>
    </w:p>
    <w:p>
      <w:pPr>
        <w:spacing w:after="0" w:before="0" w:lineRule="auto" w:line="276"/>
        <w:jc w:val="both"/>
      </w:pPr>
      <w:r>
        <w:rPr>
          <w:rFonts w:ascii="Times New Roman" w:hAnsi="Times New Roman" w:cs="Times New Roman" w:eastAsia="Times New Roman"/>
          <w:b w:val="false"/>
          <w:sz w:val="26"/>
        </w:rPr>
        <w:t xml:space="preserve">1.2. Địa điểm thực hiện: Bộ phận tiếp nhận và trả kết quả thuộc Văn phòng HĐND - UBND cấp huyện, tỉnh Thanh Hóa. </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75.000 Đồng</w:t>
              <w:t xml:space="preserve"> ((Đối với nhà ở riêng lẻ))</w:t>
            </w:r>
          </w:p>
          <w:p>
            <w:pPr>
              <w:spacing w:after="0" w:before="0" w:lineRule="auto" w:line="276"/>
              <w:jc w:val="left"/>
            </w:pPr>
            <w:r>
              <w:rPr>
                <w:rFonts w:ascii="Times New Roman" w:hAnsi="Times New Roman" w:cs="Times New Roman" w:eastAsia="Times New Roman"/>
                <w:b w:val="false"/>
                <w:sz w:val="26"/>
              </w:rPr>
              <w:t>Lệ phí : 150.000 Đồng</w:t>
              <w:t xml:space="preserve"> ((Đối với công trình khác))</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75.000 Đồng</w:t>
              <w:t xml:space="preserve"> ((Đối với nhà ở riêng lẻ))</w:t>
            </w:r>
          </w:p>
          <w:p>
            <w:pPr>
              <w:spacing w:after="0" w:before="0" w:lineRule="auto" w:line="276"/>
              <w:jc w:val="left"/>
            </w:pPr>
            <w:r>
              <w:rPr>
                <w:rFonts w:ascii="Times New Roman" w:hAnsi="Times New Roman" w:cs="Times New Roman" w:eastAsia="Times New Roman"/>
                <w:b w:val="false"/>
                <w:sz w:val="26"/>
              </w:rPr>
              <w:t>Lệ phí : 150.000 Đồng</w:t>
              <w:t xml:space="preserve"> ((Đối với công trình khác))</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xây dựng theo mẫu tại Phụ lục số 2 Thông tư số 15/2016/TT-BXD ngày 30/6/2016 của Bộ Xây dựng;</w:t>
            </w:r>
          </w:p>
        </w:tc>
        <w:tc>
          <w:p/>
          <w:p>
            <w:pPr>
              <w:spacing w:after="0" w:before="0" w:lineRule="auto" w:line="276"/>
              <w:jc w:val="left"/>
            </w:pPr>
            <w:r>
              <w:rPr>
                <w:rFonts w:ascii="Times New Roman" w:hAnsi="Times New Roman" w:cs="Times New Roman" w:eastAsia="Times New Roman"/>
                <w:b w:val="false"/>
                <w:sz w:val="26"/>
              </w:rPr>
              <w:t>PHỤ LỤC SỐ 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p>
            <w:pPr>
              <w:spacing w:after="0" w:before="0" w:lineRule="auto" w:line="276"/>
              <w:jc w:val="left"/>
            </w:pPr>
            <w:r>
              <w:rPr>
                <w:rFonts w:ascii="Times New Roman" w:hAnsi="Times New Roman" w:cs="Times New Roman" w:eastAsia="Times New Roman"/>
                <w:b w:val="false"/>
                <w:sz w:val="26"/>
              </w:rPr>
              <w:t>PHỤ LỤC SỐ 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Đối với nhà ở riêng lẻ: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xây dựng theo mẫu tại Phụ lục số 2  Thông tư số 15/2016/TT-BXD ngày 30/6/2016 của Bộ Xây dựng;</w:t>
            </w:r>
          </w:p>
        </w:tc>
        <w:tc>
          <w:p/>
          <w:p>
            <w:pPr>
              <w:spacing w:after="0" w:before="0" w:lineRule="auto" w:line="276"/>
              <w:jc w:val="left"/>
            </w:pPr>
            <w:r>
              <w:rPr>
                <w:rFonts w:ascii="Times New Roman" w:hAnsi="Times New Roman" w:cs="Times New Roman" w:eastAsia="Times New Roman"/>
                <w:b w:val="false"/>
                <w:sz w:val="26"/>
              </w:rPr>
              <w:t>PHỤ LỤC SỐ 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thiết kế mặt bằng, mặt đứng, mặt cắt bộ phận, hạng mục công trình đề nghị điều chỉnh tỷ lệ 1/50 - 1/200. Đối với trường hợp yêu cầu phải được cơ quan chuyên môn về xây dựng thẩm định thì phải nộp kèm theo báo cáo kết quả thẩm định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Trường hợp thiết kế xây dựng của công trình đã được cơ quan chuyên môn về xây dựng thẩm định, các bản vẽ thiết kế quy định tại Điểm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53/2017/NĐ-CP</w:t>
            </w:r>
          </w:p>
        </w:tc>
        <w:tc>
          <w:p/>
          <w:p>
            <w:pPr>
              <w:spacing w:after="0" w:before="0" w:lineRule="auto" w:line="276"/>
              <w:jc w:val="left"/>
            </w:pPr>
            <w:r>
              <w:rPr>
                <w:rFonts w:ascii="Times New Roman" w:hAnsi="Times New Roman" w:cs="Times New Roman" w:eastAsia="Times New Roman"/>
                <w:b w:val="false"/>
                <w:sz w:val="26"/>
              </w:rPr>
              <w:t>quy định các loại giấy tờ hợp pháp về đất đai để cấp giấy phép xây dựng</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699/2017/QĐ-UBND</w:t>
            </w:r>
          </w:p>
        </w:tc>
        <w:tc>
          <w:p/>
          <w:p>
            <w:pPr>
              <w:spacing w:after="0" w:before="0" w:lineRule="auto" w:line="276"/>
              <w:jc w:val="left"/>
            </w:pPr>
            <w:r>
              <w:rPr>
                <w:rFonts w:ascii="Times New Roman" w:hAnsi="Times New Roman" w:cs="Times New Roman" w:eastAsia="Times New Roman"/>
                <w:b w:val="false"/>
                <w:sz w:val="26"/>
              </w:rPr>
              <w:t>quy định thẩm quyền cấp giấy phép xây dựng, quy mô công trình được cấp giấy phép xây dựng có thời hạn trên địa bàn tỉnh Thanh Hóa</w:t>
            </w:r>
          </w:p>
        </w:tc>
        <w:tc>
          <w:p/>
          <w:p>
            <w:pPr>
              <w:spacing w:after="0" w:before="0" w:lineRule="auto" w:line="276"/>
              <w:jc w:val="left"/>
            </w:pPr>
            <w:r>
              <w:rPr>
                <w:rFonts w:ascii="Times New Roman" w:hAnsi="Times New Roman" w:cs="Times New Roman" w:eastAsia="Times New Roman"/>
                <w:b w:val="false"/>
                <w:sz w:val="26"/>
              </w:rPr>
              <w:t>07-03-2017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2026-05-23T16:31:28Z</dcterms:created>
  <dc:creator>Apache POI</dc:creator>
</cp:coreProperties>
</file>