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1.004837.000.00.00.H26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giám hộ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đăng ký hộ tịch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nếu thấy yêu cầu đăng ký giám hộ đủ điều kiện theo quy định pháp luật thì công chức tư pháp - hộ tịch báo cáo Chủ tịch Ủy ban nhân dân cấp xã. Trường hợp Chủ tịch Ủy ban nhân dân cấp xã đồng ý giải quyết thì công chức tư pháp - hộ tịch ghi vào Sổ đăng ký giám hộ, cùng người đi đăng ký giám hộ ký vào Sổ. Chủ tịch Ủy ban nhân dân cấp xã cấp Trích lục đăng ký giám hộ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Nộp hồ sơ trực tiếp tại Bộ phận Một cửa -  Ủy ban nhân dân cấp xã. Người có yêu cầu đăng ký giám hộ trực tiếp thực hiện hoặc ủy quyền cho người khác thực hiện việc đăng ký giám hộ.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Nộp hồ trực tuyến tại Cổng Dịch vụ công trực tuyến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Gửi hồ sơ qua hệ thống bưu chính đến Ủy ban nhân dân cấp xã. Người có yêu cầu đăng ký giám hộ có thể ủy quyền cho người khác nộp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giám hộ/bản sao Trích lục đăng ký giám hộ), người có yêu cầu đăng ký giám hộ xuất trình giấy tờ tuỳ thân, nộp bản chính các giấy tờ là thành phần hồ sơ đăng ký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giám hộ không cung cấp được giấy tờ nêu trên theo quy định hoặc giấy tờ nộp, xuất trình bị tẩy xóa, sửa chữa, làm giả thì cơ quan đăng ký hộ tịch có thẩm quyền hủy bỏ kết quả đăng ký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33/2005/QH11	</w:t>
            </w:r>
          </w:p>
        </w:tc>
        <w:tc>
          <w:p/>
          <w:p>
            <w:pPr>
              <w:spacing w:after="0" w:before="0" w:lineRule="auto" w:line="276"/>
              <w:jc w:val="left"/>
            </w:pPr>
            <w:r>
              <w:rPr>
                <w:rFonts w:ascii="Times New Roman" w:hAnsi="Times New Roman" w:cs="Times New Roman" w:eastAsia="Times New Roman"/>
                <w:b w:val="false"/>
                <w:sz w:val="26"/>
              </w:rPr>
              <w:t>Bộ luật 33/2005/QH11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2026-05-07T05:43:47Z</dcterms:created>
  <dc:creator>Apache POI</dc:creator>
</cp:coreProperties>
</file>