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chấm dứt giám hộ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02 ngày, kể từ ngày nhận đủ hồ sơ, nếu thấy yêu cầu đăng ký chấm dứt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chấm dứt giám hộ, cùng người đi đăng ký chấm dứt giám hộ ký vào Sổ. Chủ tịch Ủy ban nhân dân cấp xã cấp Trích lục đăng ký chấm dứt giám hộ cho người yêu cầu.</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nqhd-09-2018-01_signed.pdf</w:t>
            </w:r>
          </w:p>
          <w:p>
            <w:pPr>
              <w:spacing w:after="0" w:before="0" w:lineRule="auto" w:line="276"/>
              <w:jc w:val="left"/>
            </w:pPr>
            <w:r>
              <w:rPr>
                <w:rFonts w:ascii="Times New Roman" w:hAnsi="Times New Roman" w:cs="Times New Roman" w:eastAsia="Times New Roman"/>
                <w:b w:val="false"/>
                <w:sz w:val="26"/>
              </w:rPr>
              <w:t>Lệ phí : 5.000 Đồng</w:t>
              <w:br/>
              <w:t>File đính kèm: nqhd-20-2016-01_signed.pdf</w:t>
            </w:r>
          </w:p>
        </w:tc>
        <w:tc>
          <w:p/>
          <w:p>
            <w:pPr>
              <w:spacing w:after="0" w:before="0" w:lineRule="auto" w:line="276"/>
              <w:jc w:val="left"/>
            </w:pPr>
            <w:r>
              <w:rPr>
                <w:rFonts w:ascii="Times New Roman" w:hAnsi="Times New Roman" w:cs="Times New Roman" w:eastAsia="Times New Roman"/>
                <w:b w:val="false"/>
                <w:sz w:val="26"/>
              </w:rPr>
              <w:t>Nộp hồ sơ trực tiếp tại điểm tiếp nhận, phục vụ hành chính công cấp xã, gười có yêu cầu đăng ký chấm dứt giám hộ trực tiếp thực hiện hoặc ủy quyền cho người khác thực hiện việc đăng ký chấm dứt giám hộ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nqhd-09-2018-01_signed.pdf</w:t>
            </w:r>
          </w:p>
          <w:p>
            <w:pPr>
              <w:spacing w:after="0" w:before="0" w:lineRule="auto" w:line="276"/>
              <w:jc w:val="left"/>
            </w:pPr>
            <w:r>
              <w:rPr>
                <w:rFonts w:ascii="Times New Roman" w:hAnsi="Times New Roman" w:cs="Times New Roman" w:eastAsia="Times New Roman"/>
                <w:b w:val="false"/>
                <w:sz w:val="26"/>
              </w:rPr>
              <w:t>Lệ phí : 5.000 Đồng</w:t>
              <w:br/>
              <w:t>File đính kèm: nqhd-20-2016-01_signed.pdf</w:t>
            </w:r>
          </w:p>
        </w:tc>
        <w:tc>
          <w:p/>
          <w:p>
            <w:pPr>
              <w:spacing w:after="0" w:before="0" w:lineRule="auto" w:line="276"/>
              <w:jc w:val="left"/>
            </w:pPr>
            <w:r>
              <w:rPr>
                <w:rFonts w:ascii="Times New Roman" w:hAnsi="Times New Roman" w:cs="Times New Roman" w:eastAsia="Times New Roman"/>
                <w:b w:val="false"/>
                <w:sz w:val="26"/>
              </w:rPr>
              <w:t xml:space="preserve">Nộp hồ trực tuyến tại Cổng Dịch vụ công trực tuyến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0 Đồng</w:t>
              <w:t xml:space="preserve"> (Miễn lệ phí cho người thuộc gia đình có công với cách mạng; người thuộc hộ nghèo; người khuyết tật)</w:t>
              <w:br/>
              <w:t>File đính kèm: nqhd-09-2018-01_signed.pdf</w:t>
            </w:r>
          </w:p>
          <w:p>
            <w:pPr>
              <w:spacing w:after="0" w:before="0" w:lineRule="auto" w:line="276"/>
              <w:jc w:val="left"/>
            </w:pPr>
            <w:r>
              <w:rPr>
                <w:rFonts w:ascii="Times New Roman" w:hAnsi="Times New Roman" w:cs="Times New Roman" w:eastAsia="Times New Roman"/>
                <w:b w:val="false"/>
                <w:sz w:val="26"/>
              </w:rPr>
              <w:t>Lệ phí : 5.000 Đồng</w:t>
              <w:br/>
              <w:t>File đính kèm: nqhd-20-2016-01_signed.pdf</w:t>
            </w:r>
          </w:p>
        </w:tc>
        <w:tc>
          <w:p/>
          <w:p>
            <w:pPr>
              <w:spacing w:after="0" w:before="0" w:lineRule="auto" w:line="276"/>
              <w:jc w:val="left"/>
            </w:pPr>
            <w:r>
              <w:rPr>
                <w:rFonts w:ascii="Times New Roman" w:hAnsi="Times New Roman" w:cs="Times New Roman" w:eastAsia="Times New Roman"/>
                <w:b w:val="false"/>
                <w:sz w:val="26"/>
              </w:rPr>
              <w:t>Gửi hồ sơ qua hệ thống bưu chính đến Ủy ban nhân dân cấp xã. Người có yêu cầu đăng ký chấm dứt giám hộ trực tiếp thực hiện hoặc ủy quyền cho người khác thực hiện việc đăng ký chấm dứt giám hộ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2026-05-26T01:54:23Z</dcterms:created>
  <dc:creator>Apache POI</dc:creator>
</cp:coreProperties>
</file>