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1.008008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giao dịch với cơ quan thuế bằng phương thức điện tử/Đăng ký thay đổi, bổ sung thông tin giao dịch điện tử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nộp thuế (NNT) thực hiện truy cập vào Cổng dịch vụ công quốc gia/Hệ thống thông tin giải quyết thủ tục hành chính /Cổng của tổ chức cung cấp dịch vụ T-VAN thực hiện đăng ký giao dịch/Đăng ký thay đổi, bổ sung thông tin, ký điện tử và gửi đến Cục Thuế.
          Riêng đối với NNT là cá nhân đã có mã số thuế chưa được cấp chứng thư số và sử dụng mã xác thực giao dịch điện tử sau khi thực hiện đăng ký giao dịch điện tử phải đến cơ quan thuế bất kỳ xuất trình chứng minh thư nhân dân; hoặc hộ chiếu hoặc thẻ căn cước công dân để nhận và kích hoạt tài khoản giao dịch thuế điện tử. 
          NNT là cá nhân đã đăng ký và kích hoạt tài khoản định danh điện tử Mức độ 2; đồng thời hệ thống định danh, xác thực điện tử và Cổng dịch vụ công quốc gia/Hệ thống thông tin giải quyết thủ tục hành chính đã được kết nối, vận hành thì NNT được sử dụng tài khoản định danh điện tử thay thế cho việc xuất trình chứng minh thư nhân dân hoặc hộ chiếu/thẻ căn cước công dân/thẻ căn cước để thực hiện thủ tục đăng ký, kích hoạt tài khoản giao dịch điện tử.
         Sau khi hoàn thành việc thực hiện đăng ký giao dịch điện tử với cơ quan thuế theo quy định qua Cổng dịch vụ công quốc gia/Hệ thống thông tin giải quyết thủ tục hành chính hoặc qua tổ chức cung cấp dịch vụ T-VAN, NNT phải thực hiện đăng ký với ngân hàng nơi mở tài khoản theo quy định của ngân hàng (đối với trường hợp đăng ký để thực hiện nộp thuế điện tử).</w:t>
      </w:r>
    </w:p>
    <w:p>
      <w:pPr>
        <w:spacing w:after="0" w:before="0" w:lineRule="auto" w:line="276"/>
        <w:jc w:val="both"/>
      </w:pPr>
      <w:r>
        <w:rPr>
          <w:rFonts w:ascii="Times New Roman" w:hAnsi="Times New Roman" w:cs="Times New Roman" w:eastAsia="Times New Roman"/>
          <w:b w:val="false"/>
          <w:sz w:val="26"/>
        </w:rPr>
        <w:t>+ Bước 2. Cục Thuế thực hiện tiếp nhận hồ sơ qua Cổng dịch vụ công quốc gia/Hệ thống thông tin giải quyết thủ tục hành chính, thực hiện kiểm tra, giải quyết hồ sơ thông qua hệ thống xử lý dữ liệu điện tử của cơ quan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15 phút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(1): Chậm nhất 15 phút sau khi nhận được hồ sơ đăng ký giao dịch bằng phương thức điện tử của người nộp thuế. 
         Đối với trường hợp đăng ký để thực hiện nộp thuế điện tử: Ngân hàng nơi người nộp thuế mở tài khoản gửi thông báo về việc chấp nhận hoặc không chấp nhận đăng ký nộp thuế điện tử cho người nộp thuế qua Cổng dịch vụ công quốc gia/Hệ thống thông tin giải quyết thủ tục hành chính trong thời hạn chậm nhất là 03 (ba) ngày làm việc kể từ ngày nhận được bản đăng ký của người nộp thuế.
          + Trường hợp (2): Chậm nhất 15 phút kể từ khi nhận được hồ sơ đăng ký thay đổi, bổ sung thông tin giao dịch điện tử của người nộp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Trường hợp (1): Đăng ký giao dịch với cơ quan thuế bằng phương thức điện tử: Tờ khai đăng ký giao dịch với cơ quan thuế bằng phương thức điện tử theo mẫu số 01/ĐK-TĐT ban hành kèm theo Thông tư số 19/2021/TT-BTC ngày 18/3/2021 của Bộ trưởng Bộ Tài chính.</w:t>
            </w:r>
          </w:p>
        </w:tc>
        <w:tc>
          <w:p/>
          <w:p>
            <w:pPr>
              <w:spacing w:after="0" w:before="0" w:lineRule="auto" w:line="276"/>
              <w:jc w:val="left"/>
            </w:pPr>
            <w:r>
              <w:rPr>
                <w:rFonts w:ascii="Times New Roman" w:hAnsi="Times New Roman" w:cs="Times New Roman" w:eastAsia="Times New Roman"/>
                <w:b w:val="false"/>
                <w:sz w:val="26"/>
              </w:rPr>
              <w:t>mẫu 01.Đk-TĐT.doc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Trường hợp (2): Đăng ký thay đổi, bổ sung thông tin giao dịch điện tử: Tờ khai đăng ký thay đổi, bổ sung thông tin giao dịch thuế điện tử theo mẫu số 02/ĐK-TĐT ban hành kèm theo Thông tư số 19/2021/TT-BTC ngày 18/3/2021 của Bộ trưởng Bộ Tài chính</w:t>
            </w:r>
          </w:p>
        </w:tc>
        <w:tc>
          <w:p/>
          <w:p>
            <w:pPr>
              <w:spacing w:after="0" w:before="0" w:lineRule="auto" w:line="276"/>
              <w:jc w:val="left"/>
            </w:pPr>
            <w:r>
              <w:rPr>
                <w:rFonts w:ascii="Times New Roman" w:hAnsi="Times New Roman" w:cs="Times New Roman" w:eastAsia="Times New Roman"/>
                <w:b w:val="false"/>
                <w:sz w:val="26"/>
              </w:rPr>
              <w:t>Mẫu 02.Đk-TĐT.doc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Thuế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Tổng 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tài khoản giao dịch thuế điện tử  (Mẫu số 03/TB-TĐT)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165/2018/NĐ-CP</w:t>
            </w:r>
          </w:p>
        </w:tc>
        <w:tc>
          <w:p/>
          <w:p>
            <w:pPr>
              <w:spacing w:after="0" w:before="0" w:lineRule="auto" w:line="276"/>
              <w:jc w:val="left"/>
            </w:pPr>
            <w:r>
              <w:rPr>
                <w:rFonts w:ascii="Times New Roman" w:hAnsi="Times New Roman" w:cs="Times New Roman" w:eastAsia="Times New Roman"/>
                <w:b w:val="false"/>
                <w:sz w:val="26"/>
              </w:rPr>
              <w:t>Nghị định 165/2018/NĐ-CP</w:t>
            </w:r>
          </w:p>
        </w:tc>
        <w:tc>
          <w:p/>
          <w:p>
            <w:pPr>
              <w:spacing w:after="0" w:before="0" w:lineRule="auto" w:line="276"/>
              <w:jc w:val="left"/>
            </w:pPr>
            <w:r>
              <w:rPr>
                <w:rFonts w:ascii="Times New Roman" w:hAnsi="Times New Roman" w:cs="Times New Roman" w:eastAsia="Times New Roman"/>
                <w:b w:val="false"/>
                <w:sz w:val="26"/>
              </w:rPr>
              <w:t>24-12-2018</w:t>
            </w:r>
          </w:p>
        </w:tc>
        <w:tc>
          <w:p/>
        </w:tc>
      </w:tr>
      <w:tr>
        <w:tc>
          <w:p/>
          <w:p>
            <w:pPr>
              <w:spacing w:after="0" w:before="0" w:lineRule="auto" w:line="276"/>
              <w:jc w:val="left"/>
            </w:pPr>
            <w:r>
              <w:rPr>
                <w:rFonts w:ascii="Times New Roman" w:hAnsi="Times New Roman" w:cs="Times New Roman" w:eastAsia="Times New Roman"/>
                <w:b w:val="false"/>
                <w:sz w:val="26"/>
              </w:rPr>
              <w:t>130/2018/NĐ-CP</w:t>
            </w:r>
          </w:p>
        </w:tc>
        <w:tc>
          <w:p/>
          <w:p>
            <w:pPr>
              <w:spacing w:after="0" w:before="0" w:lineRule="auto" w:line="276"/>
              <w:jc w:val="left"/>
            </w:pPr>
            <w:r>
              <w:rPr>
                <w:rFonts w:ascii="Times New Roman" w:hAnsi="Times New Roman" w:cs="Times New Roman" w:eastAsia="Times New Roman"/>
                <w:b w:val="false"/>
                <w:sz w:val="26"/>
              </w:rPr>
              <w:t>Nghị định 130/2018/NĐ-CP</w:t>
            </w:r>
          </w:p>
        </w:tc>
        <w:tc>
          <w:p/>
          <w:p>
            <w:pPr>
              <w:spacing w:after="0" w:before="0" w:lineRule="auto" w:line="276"/>
              <w:jc w:val="left"/>
            </w:pPr>
            <w:r>
              <w:rPr>
                <w:rFonts w:ascii="Times New Roman" w:hAnsi="Times New Roman" w:cs="Times New Roman" w:eastAsia="Times New Roman"/>
                <w:b w:val="false"/>
                <w:sz w:val="26"/>
              </w:rPr>
              <w:t>27-09-2018</w:t>
            </w:r>
          </w:p>
        </w:tc>
        <w:tc>
          <w:p/>
        </w:tc>
      </w:tr>
      <w:tr>
        <w:tc>
          <w:p/>
          <w:p>
            <w:pPr>
              <w:spacing w:after="0" w:before="0" w:lineRule="auto" w:line="276"/>
              <w:jc w:val="left"/>
            </w:pPr>
            <w:r>
              <w:rPr>
                <w:rFonts w:ascii="Times New Roman" w:hAnsi="Times New Roman" w:cs="Times New Roman" w:eastAsia="Times New Roman"/>
                <w:b w:val="false"/>
                <w:sz w:val="26"/>
              </w:rPr>
              <w:t>45/2020/NĐ-CP</w:t>
            </w:r>
          </w:p>
        </w:tc>
        <w:tc>
          <w:p/>
          <w:p>
            <w:pPr>
              <w:spacing w:after="0" w:before="0" w:lineRule="auto" w:line="276"/>
              <w:jc w:val="left"/>
            </w:pPr>
            <w:r>
              <w:rPr>
                <w:rFonts w:ascii="Times New Roman" w:hAnsi="Times New Roman" w:cs="Times New Roman" w:eastAsia="Times New Roman"/>
                <w:b w:val="false"/>
                <w:sz w:val="26"/>
              </w:rPr>
              <w:t>Nghị định 45/2020/NĐ-CP</w:t>
            </w:r>
          </w:p>
        </w:tc>
        <w:tc>
          <w:p/>
          <w:p>
            <w:pPr>
              <w:spacing w:after="0" w:before="0" w:lineRule="auto" w:line="276"/>
              <w:jc w:val="left"/>
            </w:pPr>
            <w:r>
              <w:rPr>
                <w:rFonts w:ascii="Times New Roman" w:hAnsi="Times New Roman" w:cs="Times New Roman" w:eastAsia="Times New Roman"/>
                <w:b w:val="false"/>
                <w:sz w:val="26"/>
              </w:rPr>
              <w:t>08-04-2020</w:t>
            </w:r>
          </w:p>
        </w:tc>
        <w:tc>
          <w:p/>
        </w:tc>
      </w:tr>
      <w:tr>
        <w:tc>
          <w:p/>
          <w:p>
            <w:pPr>
              <w:spacing w:after="0" w:before="0" w:lineRule="auto" w:line="276"/>
              <w:jc w:val="left"/>
            </w:pPr>
            <w:r>
              <w:rPr>
                <w:rFonts w:ascii="Times New Roman" w:hAnsi="Times New Roman" w:cs="Times New Roman" w:eastAsia="Times New Roman"/>
                <w:b w:val="false"/>
                <w:sz w:val="26"/>
              </w:rPr>
              <w:t>11/2020/NĐ-CP</w:t>
            </w:r>
          </w:p>
        </w:tc>
        <w:tc>
          <w:p/>
          <w:p>
            <w:pPr>
              <w:spacing w:after="0" w:before="0" w:lineRule="auto" w:line="276"/>
              <w:jc w:val="left"/>
            </w:pPr>
            <w:r>
              <w:rPr>
                <w:rFonts w:ascii="Times New Roman" w:hAnsi="Times New Roman" w:cs="Times New Roman" w:eastAsia="Times New Roman"/>
                <w:b w:val="false"/>
                <w:sz w:val="26"/>
              </w:rPr>
              <w:t>Nghị định 11/2020/NĐ-CP</w:t>
            </w:r>
          </w:p>
        </w:tc>
        <w:tc>
          <w:p/>
          <w:p>
            <w:pPr>
              <w:spacing w:after="0" w:before="0" w:lineRule="auto" w:line="276"/>
              <w:jc w:val="left"/>
            </w:pPr>
            <w:r>
              <w:rPr>
                <w:rFonts w:ascii="Times New Roman" w:hAnsi="Times New Roman" w:cs="Times New Roman" w:eastAsia="Times New Roman"/>
                <w:b w:val="false"/>
                <w:sz w:val="26"/>
              </w:rPr>
              <w:t>20-01-2020</w:t>
            </w:r>
          </w:p>
        </w:tc>
        <w:tc>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Đảm bảo đầy đủ các điều kiện thực hiện giao dịch điện tử trong lĩnh vực thuế (theo quy định tại khoản 1 Điều 4, khoản 1 và khoản 2 Điều 7, điểm c khoản 1 và khoản 5 Điều 10  Thông tư số 19/2021/TT-BTC ngày 18/3/2021 của Bộ trưởng Bộ Tài chính).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2026-05-18T12:38:34Z</dcterms:created>
  <dc:creator>Apache POI</dc:creator>
</cp:coreProperties>
</file>