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tài khoản người sử dụng Cổng thông tin một cửa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thu hồi tài khoản phải có văn bản gửi Tổng cục Hải quan trong đó nêu rõ thông tin tài khoản, lý do thu hồi tài khoản, thời điểm thu hồi; đối với trường hợp giải thể, phá sản, dừng, tạm dừng hoạt động của người khai, tổ chức đánh giá sự phù hợp thì phải nêu rõ thời điểm giải thể, phá sản, dừng, tạm dừng hoạt động.</w:t>
      </w:r>
    </w:p>
    <w:p>
      <w:pPr>
        <w:spacing w:after="0" w:before="0" w:lineRule="auto" w:line="276"/>
        <w:jc w:val="both"/>
      </w:pPr>
      <w:r>
        <w:rPr>
          <w:rFonts w:ascii="Times New Roman" w:hAnsi="Times New Roman" w:cs="Times New Roman" w:eastAsia="Times New Roman"/>
          <w:b w:val="false"/>
          <w:sz w:val="26"/>
        </w:rPr>
        <w:t>Tổng cục Hải quan thực hiện thu hồi tài khoản và gửi văn bản thông báo kết quả thực hiện tới người đề nghị thu hồi tài khoản.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đến Tổng cục Hải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đến Tổng cục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nêu rõ thông tin tài khoản, lý do thu hồi tài khoản, thời điểm thu hồi; đối với trường hợp giải thể, phá sản, dừng, tạm dừng hoạt động của người khai, tổ chức đánh giá sự phù hợp thì phải nêu rõ thời điểm giải thể, phá sản, dừng, tạm dừng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thu hồi tài khoản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2026-05-27T18:42:19Z</dcterms:created>
  <dc:creator>Apache POI</dc:creator>
</cp:coreProperties>
</file>