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1.003521.000.00.00.H56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3863/QĐ-UBND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Quyết định cai nghiện ma túy tự nguyện tại cộng đồng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tệ nạn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nghiện ma túy hoặc gia đình, người giám hộ của người nghiện ma túy chưa thành niên có trách nhiệm tự giác khai báo và nộp hồ sơ đăng ký tự nguyện cai nghiện tại cộng đồng với Chủ tịch Ủy ban nhân dân cấp xã.</w:t>
      </w:r>
    </w:p>
    <w:p>
      <w:pPr>
        <w:spacing w:after="0" w:before="0" w:lineRule="auto" w:line="276"/>
        <w:jc w:val="both"/>
      </w:pPr>
      <w:r>
        <w:rPr>
          <w:rFonts w:ascii="Times New Roman" w:hAnsi="Times New Roman" w:cs="Times New Roman" w:eastAsia="Times New Roman"/>
          <w:b w:val="false"/>
          <w:sz w:val="26"/>
        </w:rPr>
        <w:t>Bước 2: Trong thời hạn 03 (ba) ngày làm việc, kể từ khi nhận được Hồ sơ đăng ký tự nguyện cai nghiện tại cộng đồng, Tổ công tác có trách nhiệm thẩm tra hồ sơ, lập danh sách đối tượng tự nguyện cai nghiện và làm văn bản trình Chủ tịch Ủy ban nhân dân cấp xã.</w:t>
      </w:r>
    </w:p>
    <w:p>
      <w:pPr>
        <w:spacing w:after="0" w:before="0" w:lineRule="auto" w:line="276"/>
        <w:jc w:val="both"/>
      </w:pPr>
      <w:r>
        <w:rPr>
          <w:rFonts w:ascii="Times New Roman" w:hAnsi="Times New Roman" w:cs="Times New Roman" w:eastAsia="Times New Roman"/>
          <w:b w:val="false"/>
          <w:sz w:val="26"/>
        </w:rPr>
        <w:t>Bước 3: Trong thời hạn 03 (ba) ngày, kể từ ngày nhận được văn bản đề nghị của Tổ công tác, Chủ tịch Ủy ban nhân dân cấp xã quyết định việc cai nghiện tự nguyện tại cộng đồng.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Ủy ban nhân dân cấp xã.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tự nguyện cai nghiện tại cộng đồng của bản thân hoặc gia đình, người giám hộ của người nghiện ma túy. Đơn phải bao gồm các nội dung: tình trạng nghiện ma túy; các hình thức cai nghiện ma túy đã tham gia; tình trạng sức khỏe; cam kết tự nguyện cai nghiện ma túy tại cộng đồng.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sơ yếu lý lịch của người nghiện ma túy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cai nghiện tự nguyện tại cộng đồng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94/2010/NĐ-CP</w:t>
            </w:r>
          </w:p>
        </w:tc>
        <w:tc>
          <w:p/>
          <w:p>
            <w:pPr>
              <w:spacing w:after="0" w:before="0" w:lineRule="auto" w:line="276"/>
              <w:jc w:val="left"/>
            </w:pPr>
            <w:r>
              <w:rPr>
                <w:rFonts w:ascii="Times New Roman" w:hAnsi="Times New Roman" w:cs="Times New Roman" w:eastAsia="Times New Roman"/>
                <w:b w:val="false"/>
                <w:sz w:val="26"/>
              </w:rPr>
              <w:t>Nghị định 94/2010/NĐ-CP - Quy định về tổ chức cai nghiện ma túy tại gia đình, cộng đồng</w:t>
            </w:r>
          </w:p>
        </w:tc>
        <w:tc>
          <w:p/>
          <w:p>
            <w:pPr>
              <w:spacing w:after="0" w:before="0" w:lineRule="auto" w:line="276"/>
              <w:jc w:val="left"/>
            </w:pPr>
            <w:r>
              <w:rPr>
                <w:rFonts w:ascii="Times New Roman" w:hAnsi="Times New Roman" w:cs="Times New Roman" w:eastAsia="Times New Roman"/>
                <w:b w:val="false"/>
                <w:sz w:val="26"/>
              </w:rPr>
              <w:t>09-09-2010</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nghiện ma túy đang cư trú tại cộng đồng tự giác khai báo và tự nguyện đăng ký cai nghiện tại cộng đồng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2026-05-20T08:01:41Z</dcterms:created>
  <dc:creator>Apache POI</dc:creator>
</cp:coreProperties>
</file>