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kết hôn đã được giải quyết tại cơ quan có thẩm quyền của nước ngoài (Sau đây gọi là ghi chú kết hôn) nộp hồ sơ ghi chú kết hôn tại Trung tâm Phục vụ hành chính công có thẩm quyền; nộp lệ phí nếu thuộc trường hợp phải nộp lệ phí ghi chú kết hôn, nộp phí cấp bản sao Trích lục ghi chú kết hôn nếu có yêu cầu cấp bản sao Trích lục ghi chú kết hôn.  
- Nếu lựa chọn hình thức nộp hồ sơ trực tuyến, người yêu cầu ghi chú kết hôn truy cập Cổng dịch vụ công quốc gia hoặc Ứng dụng định danh quốc gia.
Người yêu cầu ghi chú kết hôn trực tuyến cung cấp thông tin theo mẫu hộ tịch điện tử tương tác ghi vào Sổ hộ tịch việc kết hôn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chú kết hôn không bổ sung, hoàn thiện được hồ sơ thì cán bộ tiếp nhận hồ sơ báo cáo Lãnh đạo Trung tâm Phục vụ hành chính công có thông báo từ chối giải quyết yêu cầu ghi chú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kết hôn đủ điều kiện, không thuộc trường hợp từ chối ghi vào sổ việc kết hôn theo quy định, trường hợp tiếp nhận hồ sơ ghi chú kết hôn theo hình thức trực tiếp, thì công chức tư pháp - hộ tịch thực hiện ghi vào Sổ đăng ký kết hôn, cập nhật thông tin ghi chú kết hôn trên Phần mềm đăng ký, quản lý hộ tịch điện tử dùng chung. 
Trường hợp tiếp nhận hồ sơ ghi chú kết hôn theo hình thức trực tuyến, công chức tư pháp - hộ tịch gửi lại biểu mẫu Trích lục ghi chú kết hôn điện tử với thông tin đầy đủ cho người yêu cầu qua thư điện tử hoặc thiết bị số.   
Người yêu cầu có trách nhiệm kiểm tra tính chính xác, đầy đủ của các thông tin trên biểu mẫu Trích lục ghi chú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ghi chú kết hôn trên Phần mềm đăng ký, quản lý hộ tịch điện tử dùng chung. 
	- Công chức tư pháp - hộ tịch in Trích lục ghi chú kết hôn, trình Lãnh đạo Ủy ban nhân dân cấp xã ký, chuyển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xml:space="preserve">* Yêu cầu ghi chú kết hôn bị từ chối trong các trường hợp sau: </w:t>
      </w:r>
    </w:p>
    <w:p>
      <w:pPr>
        <w:spacing w:after="0" w:before="0" w:lineRule="auto" w:line="276"/>
        <w:jc w:val="both"/>
      </w:pPr>
      <w:r>
        <w:rPr>
          <w:rFonts w:ascii="Times New Roman" w:hAnsi="Times New Roman" w:cs="Times New Roman" w:eastAsia="Times New Roman"/>
          <w:b w:val="false"/>
          <w:sz w:val="26"/>
        </w:rPr>
        <w:t>- Việc kết hôn vi phạm điều cấm theo quy định của Luật hôn nhân và gia đình.</w:t>
      </w:r>
    </w:p>
    <w:p>
      <w:pPr>
        <w:spacing w:after="0" w:before="0" w:lineRule="auto" w:line="276"/>
        <w:jc w:val="both"/>
      </w:pPr>
      <w:r>
        <w:rPr>
          <w:rFonts w:ascii="Times New Roman" w:hAnsi="Times New Roman" w:cs="Times New Roman" w:eastAsia="Times New Roman"/>
          <w:b w:val="false"/>
          <w:sz w:val="26"/>
        </w:rPr>
        <w:t>- Công dân Việt Nam kết hôn với người nước ngoài tại cơ quan đại diện ngoại giao, cơ quan đại diện lãnh sự nước ngoài tại Việt Nam.</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t xml:space="preserve">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nhận việc kết hôn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Nếu công dân Việt Nam đã ly hôn hoặc hủy việc kết hôn tại cơ quan có thẩm quyền nước ngoài thì phải nộp Trích lục về việc đã ghi vào Sổ hộ tịch việc ly hôn hoặc hủy việc kết hôn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kết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kết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8. TK ghi chú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8 Ghi vào sổ hộ tịch việc kết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số 60/2014/QH13 </w:t>
            </w:r>
          </w:p>
        </w:tc>
        <w:tc>
          <w:p/>
          <w:p>
            <w:pPr>
              <w:spacing w:after="0" w:before="0" w:lineRule="auto" w:line="276"/>
              <w:jc w:val="left"/>
            </w:pPr>
            <w:r>
              <w:rPr>
                <w:rFonts w:ascii="Times New Roman" w:hAnsi="Times New Roman" w:cs="Times New Roman" w:eastAsia="Times New Roman"/>
                <w:b w:val="false"/>
                <w:sz w:val="26"/>
              </w:rPr>
              <w:t>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giữa công dân Việt Nam với nhau hoặc với người nước ngoài đã được giải quyết tại cơ quan có thẩm quyền của nước ngoài ở nước ngoài được ghi vào Sổ hộ tịch nếu tại thời điểm kết hôn, các bên đáp ứng đủ điều kiện kết hôn và không vi phạm điều cấm theo quy định của Luật Hôn nhân và gia đình Việt Nam.
- Nếu vào thời điểm đăng ký tại cơ quan có thẩm quyền nước ngoài, việc kết hôn không đáp ứng điều kiện kết hôn, nhưng không vi phạm điều cấm theo quy định của Luật Hôn nhân và gia đình, nhưng vào thời điểm yêu cầu ghi vào Sổ hộ tịch việc kết hôn, hậu quả đã được khắc phục hoặc việc ghi chú kết hôn là nhằm bảo vệ quyền lợi của công dân Việt Nam và trẻ em, thì việc kết hôn cũng được ghi vào Sổ hộ tịch.
* Yêu cầu ghi chú kết hôn bị từ chối trong các trường hợp sau: 
- Việc kết hôn vi phạm điều cấm theo quy định của Luật Hôn nhân và gia đình.
- Công dân Việt Nam kết hôn với người nước ngoài tại cơ quan đại diện ngoại giao, cơ quan đại diện lãnh sự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2026-04-30T01:09:29Z</dcterms:created>
  <dc:creator>Apache POI</dc:creator>
</cp:coreProperties>
</file>