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1.000593.000.00.00.H18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158/QĐ-UBND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kết hôn lưu động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Công chức tư pháp - hộ tịch cấp xã được giao nhiệm vụ đăng ký kết hôn lưu động có trách nhiệm chuẩn bị đầy đủ các loại mẫu Tờ khai, giấy tờ hộ tịch và điều kiện cần thiết để thực hiện đăng ký lưu động.
- Tại địa điểm đăng ký kết hôn lưu động, Công chức tư pháp - hộ tịch có trách nhiệm kiểm tra, xác minh về điều kiện kết hôn của các bên; hướng dẫn người dân điền đầy đủ thông tin trong Tờ khai đăng ký kết hôn. Nếu hồ sơ đầy đủ, hợp lệ, Công chức tư pháp - hộ tịch tiếp nhận hồ sơ viết Phiếu tiếp nhận hồ sơ.
- Sau khi tiếp nhận hồ sơ, Công chức tư pháp - hộ tịch báo cáo Lãnh đạo Ủy ban nhân dân xã. Trường hợp Chủ tịch Ủy ban nhân dân xã đồng ý giải quyết thì ký cấp 02 Giấy chứng nhận kết hôn cho người yêu cầu. Công chức tư pháp - hộ tịch ghi nội dung đăng ký vào Sổ đăng ký kết hôn, hướng dẫn các bên kiểm tra nội dung Giấy chứng nhận kết hôn và Sổ đăng ký kết hôn, cùng các bên nam, nữ ký vào Sổ đăng ký kết hôn, Giấy chứng nhận kết hôn theo quy định; tiến hành trao Giấy chứng nhận kết hôn cho các bên tại địa điểm đăng ký lưu động. Tại mục “Ghi chú” trong Sổ đăng ký kết hôn ghi rõ “Đăng ký lưu động”.
- Trường hợp người yêu cầu không biết chữ thì công chức tư pháp - hộ tịch trực tiếp ghi Tờ khai, sau đó đọc cho người yêu cầu nghe lại nội dung và hướng dẫn người đó điểm chỉ vào Tờ khai. Khi trao Giấy chứng nhận kết hôn, Công chức tư pháp - hộ tịch phải đọc lại nội dung Giấy chứng nhận kết hôn cho người yêu cầu nghe và hướng dẫn người đó điểm chỉ vào Sổ đăng ký kết hôn.</w:t>
      </w:r>
    </w:p>
    <w:p>
      <w:pPr>
        <w:spacing w:after="0" w:before="0" w:lineRule="auto" w:line="276"/>
        <w:jc w:val="both"/>
      </w:pPr>
      <w:r>
        <w:rPr>
          <w:rFonts w:ascii="Times New Roman" w:hAnsi="Times New Roman" w:cs="Times New Roman" w:eastAsia="Times New Roman"/>
          <w:b w:val="false"/>
          <w:sz w:val="26"/>
        </w:rPr>
        <w:t>Lưu ý: 
Người tiếp nhận hồ sơ thực hiện khai thác thông tin trong Cơ sở dữ liệu quốc gia về dân cư theo quy định pháp luật nếu người yêu cầu đăng ký hộ tịch đã cung cấp họ, chữ đệm, tên; ngày, tháng, năm sinh; số định danh cá nhân/thẻ căn cước công dân/thẻ căn cước/căn cước điện tử. Trường hợp các thông tin cần khai thác không có trong Cơ sở dữ liệu quốc gia về dân cư thì đề nghị người yêu cầu kê khai đầy đủ.</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Miễn lệ phí</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Miễn lệ phí</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Miễn lệ phí</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Giấy tờ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đăng ký kết hôn theo mẫu. Hai bên nam, nữ có thể khai chung vào một Tờ khai đăng ký kết hôn.</w:t>
            </w:r>
          </w:p>
        </w:tc>
        <w:tc>
          <w:p/>
          <w:p>
            <w:pPr>
              <w:spacing w:after="0" w:before="0" w:lineRule="auto" w:line="276"/>
              <w:jc w:val="left"/>
            </w:pPr>
            <w:r>
              <w:rPr>
                <w:rFonts w:ascii="Times New Roman" w:hAnsi="Times New Roman" w:cs="Times New Roman" w:eastAsia="Times New Roman"/>
                <w:b w:val="false"/>
                <w:sz w:val="26"/>
              </w:rPr>
              <w:t>2.TKngkkthn.doc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có giá trị chứng minh thông tin về cư trú trong trường hợp cơ quan đăng ký hộ tịch không thể khai thác được thông tin về nơi cư trú của công dân theo các phương thức quy định tại khoản 2 Điều 14 Nghị định số 104/2022/NĐ-CP ngày 21/12/2022 của Chính phủ. Trường hợp các thông tin về giấy tờ chứng minh nơi cư trú đã được khai thác từ Cơ sở dữ liệu quốc gia về dân cư bằng các phương thức này thì người có yêu cầu không phải xuất trình (theo hình thức trực tiếp) hoặc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Hộ chiếu/Thẻ căn cước công dân/Thẻ căn cước/Căn cước điện tử/Giấy chứng nhận căn cước hoặc các giấy tờ khác có dán ảnh và thông tin cá nhân do cơ quan có thẩm quyền cấp, còn giá trị sử dụng (sau đây gọi tắt là giấy tờ tùy thân) để chứng minh về nhân thân khi làm thủ tục trực tiếp tại cơ quan đăng ký hộ tịch.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Trường hợp giấy tờ tùy thân sử dụng là: Hộ chiếu, Thẻ căn cước, Căn cước công dân, Giấy chứng nhận căn cước thì người có yêu cầu đăng ký hộ tịch chỉ cần cung cấp thông tin số định danh cá nhân hoặc thông tin về giấy tờ (số, ngày/tháng/năm cấp), cơ quan đăng ký hộ tịch có trách nhiệm tra cứu thông tin thông qua kết nối với Cơ sở dữ liệu hộ tịch điện tử, Cơ sở dữ liệu quốc gia về dân cư hoặc cơ sở dữ liệu khác có liên quan để đối chiếu, khai thác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không khai thác được thông tin hoặc thông tin khai thác được không đầy đủ, không chính xác thì cơ quan đăng ký hộ tịch yêu cầu người đi đăng ký hộ tịch xuất trình bản chính giấy tờ để chứng minh, đồng thời đề nghị người đi đăng ký hộ tịch cập nhật, điều chỉnh thông tin trong các cơ sở dữ liệu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Địa điểm đăng ký hộ tịch lưu động</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kết hôn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60/2014/QH13</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52/2014/QH13</w:t>
            </w:r>
          </w:p>
        </w:tc>
        <w:tc>
          <w:p/>
          <w:p>
            <w:pPr>
              <w:spacing w:after="0" w:before="0" w:lineRule="auto" w:line="276"/>
              <w:jc w:val="left"/>
            </w:pPr>
            <w:r>
              <w:rPr>
                <w:rFonts w:ascii="Times New Roman" w:hAnsi="Times New Roman" w:cs="Times New Roman" w:eastAsia="Times New Roman"/>
                <w:b w:val="false"/>
                <w:sz w:val="26"/>
              </w:rPr>
              <w:t>Luật Hôn nhân và gia đình 52/2014/QH13</w:t>
            </w:r>
          </w:p>
        </w:tc>
        <w:tc>
          <w:p/>
          <w:p>
            <w:pPr>
              <w:spacing w:after="0" w:before="0" w:lineRule="auto" w:line="276"/>
              <w:jc w:val="left"/>
            </w:pPr>
            <w:r>
              <w:rPr>
                <w:rFonts w:ascii="Times New Roman" w:hAnsi="Times New Roman" w:cs="Times New Roman" w:eastAsia="Times New Roman"/>
                <w:b w:val="false"/>
                <w:sz w:val="26"/>
              </w:rPr>
              <w:t>19-06-2014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01/2013/TT-BVHTTDL</w:t>
            </w:r>
          </w:p>
        </w:tc>
        <w:tc>
          <w:p/>
          <w:p>
            <w:pPr>
              <w:spacing w:after="0" w:before="0" w:lineRule="auto" w:line="276"/>
              <w:jc w:val="left"/>
            </w:pPr>
            <w:r>
              <w:rPr>
                <w:rFonts w:ascii="Times New Roman" w:hAnsi="Times New Roman" w:cs="Times New Roman" w:eastAsia="Times New Roman"/>
                <w:b w:val="false"/>
                <w:sz w:val="26"/>
              </w:rPr>
              <w:t>01/2013/TT-BVHTTDL</w:t>
            </w:r>
          </w:p>
        </w:tc>
        <w:tc>
          <w:p/>
          <w:p>
            <w:pPr>
              <w:spacing w:after="0" w:before="0" w:lineRule="auto" w:line="276"/>
              <w:jc w:val="left"/>
            </w:pPr>
            <w:r>
              <w:rPr>
                <w:rFonts w:ascii="Times New Roman" w:hAnsi="Times New Roman" w:cs="Times New Roman" w:eastAsia="Times New Roman"/>
                <w:b w:val="false"/>
                <w:sz w:val="26"/>
              </w:rPr>
              <w:t>02-01-2013</w:t>
            </w:r>
          </w:p>
        </w:tc>
        <w:tc>
          <w:p/>
        </w:tc>
      </w:tr>
      <w:tr>
        <w:tc>
          <w:p/>
          <w:p>
            <w:pPr>
              <w:spacing w:after="0" w:before="0" w:lineRule="auto" w:line="276"/>
              <w:jc w:val="left"/>
            </w:pPr>
            <w:r>
              <w:rPr>
                <w:rFonts w:ascii="Times New Roman" w:hAnsi="Times New Roman" w:cs="Times New Roman" w:eastAsia="Times New Roman"/>
                <w:b w:val="false"/>
                <w:sz w:val="26"/>
              </w:rPr>
              <w:t>04/2020/TT-BTP</w:t>
            </w:r>
          </w:p>
        </w:tc>
        <w:tc>
          <w:p/>
          <w:p>
            <w:pPr>
              <w:spacing w:after="0" w:before="0" w:lineRule="auto" w:line="276"/>
              <w:jc w:val="left"/>
            </w:pPr>
            <w:r>
              <w:rPr>
                <w:rFonts w:ascii="Times New Roman" w:hAnsi="Times New Roman" w:cs="Times New Roman" w:eastAsia="Times New Roman"/>
                <w:b w:val="false"/>
                <w:sz w:val="26"/>
              </w:rPr>
              <w:t>Thông tư 04/2020/TT-BTP hướng dẫn thi hành Luật Hộ tịch và Nghị định 123/2015/NĐ-CP</w:t>
            </w:r>
          </w:p>
        </w:tc>
        <w:tc>
          <w:p/>
          <w:p>
            <w:pPr>
              <w:spacing w:after="0" w:before="0" w:lineRule="auto" w:line="276"/>
              <w:jc w:val="left"/>
            </w:pPr>
            <w:r>
              <w:rPr>
                <w:rFonts w:ascii="Times New Roman" w:hAnsi="Times New Roman" w:cs="Times New Roman" w:eastAsia="Times New Roman"/>
                <w:b w:val="false"/>
                <w:sz w:val="26"/>
              </w:rPr>
              <w:t>28-05-2020</w:t>
            </w:r>
          </w:p>
        </w:tc>
        <w:tc>
          <w:p/>
        </w:tc>
      </w:tr>
      <w:tr>
        <w:tc>
          <w:p/>
          <w:p>
            <w:pPr>
              <w:spacing w:after="0" w:before="0" w:lineRule="auto" w:line="276"/>
              <w:jc w:val="left"/>
            </w:pPr>
            <w:r>
              <w:rPr>
                <w:rFonts w:ascii="Times New Roman" w:hAnsi="Times New Roman" w:cs="Times New Roman" w:eastAsia="Times New Roman"/>
                <w:b w:val="false"/>
                <w:sz w:val="26"/>
              </w:rPr>
              <w:t>20/2020/QĐ-UBND</w:t>
            </w:r>
          </w:p>
        </w:tc>
        <w:tc>
          <w:p/>
          <w:p>
            <w:pPr>
              <w:spacing w:after="0" w:before="0" w:lineRule="auto" w:line="276"/>
              <w:jc w:val="left"/>
            </w:pPr>
            <w:r>
              <w:rPr>
                <w:rFonts w:ascii="Times New Roman" w:hAnsi="Times New Roman" w:cs="Times New Roman" w:eastAsia="Times New Roman"/>
                <w:b w:val="false"/>
                <w:sz w:val="26"/>
              </w:rPr>
              <w:t>Quyết định số 20/2020/QĐ-UBND ngày 30 tháng 9 năm 2020 của Ủy ban nhân dân tỉnh Điện Biên về Quy định mức thu, miễn, giảm, thu, nộp, quản lý và sử dụng các loại phí, lệ phí trên địa bàn tỉnh Điện Biên</w:t>
            </w:r>
          </w:p>
        </w:tc>
        <w:tc>
          <w:p/>
          <w:p>
            <w:pPr>
              <w:spacing w:after="0" w:before="0" w:lineRule="auto" w:line="276"/>
              <w:jc w:val="left"/>
            </w:pPr>
            <w:r>
              <w:rPr>
                <w:rFonts w:ascii="Times New Roman" w:hAnsi="Times New Roman" w:cs="Times New Roman" w:eastAsia="Times New Roman"/>
                <w:b w:val="false"/>
                <w:sz w:val="26"/>
              </w:rPr>
              <w:t>30-09-2020</w:t>
            </w:r>
          </w:p>
        </w:tc>
        <w:tc>
          <w:p/>
          <w:p>
            <w:pPr>
              <w:spacing w:after="0" w:before="0" w:lineRule="auto" w:line="276"/>
              <w:jc w:val="left"/>
            </w:pPr>
            <w:r>
              <w:rPr>
                <w:rFonts w:ascii="Times New Roman" w:hAnsi="Times New Roman" w:cs="Times New Roman" w:eastAsia="Times New Roman"/>
                <w:b w:val="false"/>
                <w:sz w:val="26"/>
              </w:rPr>
              <w:t>UBND tỉnh Điện Biên</w:t>
            </w:r>
          </w:p>
        </w:tc>
      </w:tr>
      <w:tr>
        <w:tc>
          <w:p/>
          <w:p>
            <w:pPr>
              <w:spacing w:after="0" w:before="0" w:lineRule="auto" w:line="276"/>
              <w:jc w:val="left"/>
            </w:pPr>
            <w:r>
              <w:rPr>
                <w:rFonts w:ascii="Times New Roman" w:hAnsi="Times New Roman" w:cs="Times New Roman" w:eastAsia="Times New Roman"/>
                <w:b w:val="false"/>
                <w:sz w:val="26"/>
              </w:rPr>
              <w:t>106/2021/TT-BTC</w:t>
            </w:r>
          </w:p>
        </w:tc>
        <w:tc>
          <w:p/>
          <w:p>
            <w:pPr>
              <w:spacing w:after="0" w:before="0" w:lineRule="auto" w:line="276"/>
              <w:jc w:val="left"/>
            </w:pPr>
            <w:r>
              <w:rPr>
                <w:rFonts w:ascii="Times New Roman" w:hAnsi="Times New Roman" w:cs="Times New Roman" w:eastAsia="Times New Roman"/>
                <w:b w:val="false"/>
                <w:sz w:val="26"/>
              </w:rPr>
              <w:t>Thông tư 106/2021/TT-BTC</w:t>
            </w:r>
          </w:p>
        </w:tc>
        <w:tc>
          <w:p/>
          <w:p>
            <w:pPr>
              <w:spacing w:after="0" w:before="0" w:lineRule="auto" w:line="276"/>
              <w:jc w:val="left"/>
            </w:pPr>
            <w:r>
              <w:rPr>
                <w:rFonts w:ascii="Times New Roman" w:hAnsi="Times New Roman" w:cs="Times New Roman" w:eastAsia="Times New Roman"/>
                <w:b w:val="false"/>
                <w:sz w:val="26"/>
              </w:rPr>
              <w:t>26-11-2021</w:t>
            </w:r>
          </w:p>
        </w:tc>
        <w:tc>
          <w:p/>
        </w:tc>
      </w:tr>
      <w:tr>
        <w:tc>
          <w:p/>
          <w:p>
            <w:pPr>
              <w:spacing w:after="0" w:before="0" w:lineRule="auto" w:line="276"/>
              <w:jc w:val="left"/>
            </w:pPr>
            <w:r>
              <w:rPr>
                <w:rFonts w:ascii="Times New Roman" w:hAnsi="Times New Roman" w:cs="Times New Roman" w:eastAsia="Times New Roman"/>
                <w:b w:val="false"/>
                <w:sz w:val="26"/>
              </w:rPr>
              <w:t>Nghị định số 104/2022/NĐ-CP</w:t>
            </w:r>
          </w:p>
        </w:tc>
        <w:tc>
          <w:p/>
          <w:p>
            <w:pPr>
              <w:spacing w:after="0" w:before="0" w:lineRule="auto" w:line="276"/>
              <w:jc w:val="left"/>
            </w:pPr>
            <w:r>
              <w:rPr>
                <w:rFonts w:ascii="Times New Roman" w:hAnsi="Times New Roman" w:cs="Times New Roman" w:eastAsia="Times New Roman"/>
                <w:b w:val="false"/>
                <w:sz w:val="26"/>
              </w:rPr>
              <w:t>Nghị định</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04/2024/TT-BTP</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02/2020/TT-BTP ngày 08/4/2020 của Bộ trưởng Bộ Tư pháp ban hành, hướng dẫn sử dụng, quản lý mẫu sổ quốc tịch và mẫu giấy tờ về quốc tịch và Thông tư số 04/2020/TT-BTP ngày 28/5/2020 của Bộ trưởng Bộ Tư pháp quy định chi tiết thi hành một số điều của Luật Hộ tịch và Nghị định  số 123/2015/NĐ-CP ngày 15/11/2015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06-06-2024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120/2025/NĐ-CP</w:t>
            </w:r>
          </w:p>
        </w:tc>
        <w:tc>
          <w:p/>
          <w:p>
            <w:pPr>
              <w:spacing w:after="0" w:before="0" w:lineRule="auto" w:line="276"/>
              <w:jc w:val="left"/>
            </w:pPr>
            <w:r>
              <w:rPr>
                <w:rFonts w:ascii="Times New Roman" w:hAnsi="Times New Roman" w:cs="Times New Roman" w:eastAsia="Times New Roman"/>
                <w:b w:val="false"/>
                <w:sz w:val="26"/>
              </w:rPr>
              <w:t>Nghị định số 120/2025/NĐ-CP ngày 11/6/2025 của Chính phủ quy định về phân định thẩm quyền của chính quyền địa phương 02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Thông tư số 08/2025/TT-BTP ngày 12/6/2025 của Bộ trưởng Bộ Tư pháp 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15-11-2025</w:t>
            </w:r>
          </w:p>
        </w:tc>
        <w:tc>
          <w:p/>
          <w:p>
            <w:pPr>
              <w:spacing w:after="0" w:before="0" w:lineRule="auto" w:line="276"/>
              <w:jc w:val="left"/>
            </w:pPr>
            <w:r>
              <w:rPr>
                <w:rFonts w:ascii="Times New Roman" w:hAnsi="Times New Roman" w:cs="Times New Roman" w:eastAsia="Times New Roman"/>
                <w:b w:val="false"/>
                <w:sz w:val="26"/>
              </w:rPr>
              <w:t>Văn phòng Chính phủ</w:t>
            </w:r>
          </w:p>
        </w:tc>
      </w:tr>
      <w:tr>
        <w:tc>
          <w:p/>
          <w:p>
            <w:pPr>
              <w:spacing w:after="0" w:before="0" w:lineRule="auto" w:line="276"/>
              <w:jc w:val="left"/>
            </w:pPr>
            <w:r>
              <w:rPr>
                <w:rFonts w:ascii="Times New Roman" w:hAnsi="Times New Roman" w:cs="Times New Roman" w:eastAsia="Times New Roman"/>
                <w:b w:val="false"/>
                <w:sz w:val="26"/>
              </w:rPr>
              <w:t>18/2026/NĐ-CP</w:t>
            </w:r>
          </w:p>
        </w:tc>
        <w:tc>
          <w:p/>
          <w:p>
            <w:pPr>
              <w:spacing w:after="0" w:before="0" w:lineRule="auto" w:line="276"/>
              <w:jc w:val="left"/>
            </w:pPr>
            <w:r>
              <w:rPr>
                <w:rFonts w:ascii="Times New Roman" w:hAnsi="Times New Roman" w:cs="Times New Roman" w:eastAsia="Times New Roman"/>
                <w:b w:val="false"/>
                <w:sz w:val="26"/>
              </w:rPr>
              <w:t>Sửa đổi, bổ sung một số nghị định để cắt giảm, đơn giản hóa thủ tục hành chính, điều kiện kinh doanh thuộc phạm vi quản lý của Bộ Tư pháp</w:t>
            </w:r>
          </w:p>
        </w:tc>
        <w:tc>
          <w:p/>
          <w:p>
            <w:pPr>
              <w:spacing w:after="0" w:before="0" w:lineRule="auto" w:line="276"/>
              <w:jc w:val="left"/>
            </w:pPr>
            <w:r>
              <w:rPr>
                <w:rFonts w:ascii="Times New Roman" w:hAnsi="Times New Roman" w:cs="Times New Roman" w:eastAsia="Times New Roman"/>
                <w:b w:val="false"/>
                <w:sz w:val="26"/>
              </w:rPr>
              <w:t>14-01-2026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Hai bên nam, nữ cùng thường trú trên địa bàn cấp xã mà một hoặc cả hai bên nam, nữ là người khuyết tật, ốm bệnh không thể đi đăng ký kết hôn được.
- Nam từ đủ 20 tuổi trở lên, nữ từ đủ 18 tuổi trở lên;
- Việc kết hôn do nam và nữ tự nguyện quyết định;
- Không bị mất năng lực hành vi dân sự;
- Việc kết hôn không thuộc một trong các trường hợp cấm kết hôn, gồm:
+ Kết hôn giả tạo;
+ Tảo hôn, cưỡng ép kết hôn, lừa dối kết hôn, cản trở kết hôn;
+ Người đang có vợ, có chồng mà kết hôn với người khác hoặc chưa có vợ, chưa có chồng mà kết hôn với người đang có chồng, có vợ;
+ Kết hôn giữa những người cùng dòng máu về trực hệ; giữa những người có họ trong phạm vi ba đời; giữa cha, mẹ nuôi với con nuôi; giữa người đã từng là cha, mẹ nuôi với con nuôi, cha chồng với con dâu, mẹ vợ với con rể, cha dượng với con riêng của vợ, mẹ kế với con riêng của chồng;
* Nhà nước không thừa nhận hôn nhân giữa những người cùng giới tính.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2026-05-20T19:53:50Z</dcterms:created>
  <dc:creator>Apache POI</dc:creator>
</cp:coreProperties>
</file>