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2.001810.000.00.00.H56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nhóm trẻ, lớp mẫu giáo độc lập (theo yêu cầu của tổ chức, cá nhân đề nghị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Ủy ban nhân dân cấp xã phối hợp với Phòng Giáo dục và Đào tạo tổ chức kiểm tra, lập biên bản;</w:t>
      </w:r>
    </w:p>
    <w:p>
      <w:pPr>
        <w:spacing w:after="0" w:before="0" w:lineRule="auto" w:line="276"/>
        <w:jc w:val="both"/>
      </w:pPr>
      <w:r>
        <w:rPr>
          <w:rFonts w:ascii="Times New Roman" w:hAnsi="Times New Roman" w:cs="Times New Roman" w:eastAsia="Times New Roman"/>
          <w:b w:val="false"/>
          <w:sz w:val="26"/>
        </w:rPr>
        <w:t xml:space="preserve"> - Căn cứ biên bản kiểm tra, Chủ tịch Ủy ban nhân dân cấp xã quyết định thu hồi giấy phép thành lập và quyết định giải thể nhóm trẻ, lớp mẫu giáo độc lập. Quyết định giải thể phải ghi rõ lý do, các biện pháp bảo đảm lợi ích hợp pháp của trẻ em, giáo viên, nhân viên và phải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thuôc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2026-05-20T08:03:07Z</dcterms:created>
  <dc:creator>Apache POI</dc:creator>
</cp:coreProperties>
</file>