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1.002363.000.00.00.H56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627/QĐ-UBND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Giải quyết chế độ đối với Anh hùng lực lượng vũ trang nhân dân, Anh hùng lao động trong thời kỳ kháng chiến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xml:space="preserve"> Bước 3. Xử lý hồ sơ của cá nhân, tổ chức.
- Ủy ban nhân dân cấp xã trong thời gian 05 ngày kể từ ngày nhận đủ giấy tờ, có trách nhiệm xác nhận bản khai và gửi kèm hồ sơ đến Phòng Lao động - Thương binh và Xã hội cấp huyện.
- Phòng Lao động - Thương binh và Xã hội cấp huyện trong thời gian 05 ngày kể từ ngày nhận đủ các giấy tờ, có trách nhiệm lập danh sách kèm theo hồ sơ gửi Sở Lao động - Thương binh và Xã hội.
- Sở Lao động - Thương binh và Xã hội trong thời gian 10 ngày kể từ ngày nhận đủ các giấy tờ hợp lệ, có trách nhiệm ra quyết định trợ cấp hàng tháng hoặc trợ cấp một lần.</w:t>
      </w:r>
    </w:p>
    <w:p>
      <w:pPr>
        <w:spacing w:after="0" w:before="0" w:lineRule="auto" w:line="276"/>
        <w:jc w:val="both"/>
      </w:pPr>
      <w:r>
        <w:rPr>
          <w:rFonts w:ascii="Times New Roman" w:hAnsi="Times New Roman" w:cs="Times New Roman" w:eastAsia="Times New Roman"/>
          <w:b w:val="false"/>
          <w:sz w:val="26"/>
        </w:rPr>
        <w:t xml:space="preserve"> Bước 4. Trả kết quả:
a)  Địa điểm trả: Ủy ban nhân dân cấp xã nơi cá nhân đăng ký hộ khẩu thường trú.
b) Thời gian trả kết quả: Trong giờ hành chính các ngày làm việc từ thứ 2 đến thứ 6 hàng tuần (trừ ngày Lễ, Tết và ngày nghỉ theo quy định).</w:t>
      </w:r>
    </w:p>
    <w:p>
      <w:pPr>
        <w:spacing w:after="0" w:before="0" w:lineRule="auto" w:line="276"/>
        <w:jc w:val="both"/>
      </w:pPr>
      <w:r>
        <w:rPr>
          <w:rFonts w:ascii="Times New Roman" w:hAnsi="Times New Roman" w:cs="Times New Roman" w:eastAsia="Times New Roman"/>
          <w:b w:val="false"/>
          <w:sz w:val="26"/>
        </w:rPr>
        <w:t xml:space="preserve"> Bước 1. Chuẩn bị hồ sơ.
Cá nhân chuẩn bị hồ sơ theo quy định của pháp luật.</w:t>
      </w:r>
    </w:p>
    <w:p>
      <w:pPr>
        <w:spacing w:after="0" w:before="0" w:lineRule="auto" w:line="276"/>
        <w:jc w:val="both"/>
      </w:pPr>
      <w:r>
        <w:rPr>
          <w:rFonts w:ascii="Times New Roman" w:hAnsi="Times New Roman" w:cs="Times New Roman" w:eastAsia="Times New Roman"/>
          <w:b w:val="false"/>
          <w:sz w:val="26"/>
        </w:rPr>
        <w:t xml:space="preserve"> Bước 2. Tiếp nhận hồ sơ của cá nhân, tổ chức.
a) Địa điểm tiếp nhận: Ủy ban nhân dân cấp xã nơi cá nhân đăng ký hộ khẩu thường trú.
b) Thời gian tiếp nhận: Trong giờ hành chính các ngày làm việc từ thứ 2 đến thứ 6 hàng tuần (trừ ngày Lễ, Tết và ngày nghỉ theo quy định).
c) Những điểm cần lưu ý khi tiếp nhận hồ sơ:
- Đối với cá nhân: Bổ sung, hoàn chỉnh hồ sơ theo quy định.
- Đối với cơ quan tiếp nhận hồ sơ:
+ Hướng dẫn để cá nhân bổ sung, hoàn chỉnh hồ sơ theo quy định;
+ Hồ sơ đầy đủ, hợp lệ thì viết giấy biên nhận hồ sơ, tài liệu cho cá nhân.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xml:space="preserve"> Thời hạn giải quyết công việc là 20 ngày, kề từ ngày nhận đủ hồ sơ hợp lệ. Trong đó:
- Ủy ban nhân dân cấp xã: 05 ngày.
-  Phòng Lao động- Thương binh và Xã hội cấp huyện: 5 ngày.
-  Sở Lao động- Thương binh và Xã hội: 10 ngày.</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khai cá nhân (Mẫu AH1 Thông tư  05)</w:t>
            </w:r>
          </w:p>
        </w:tc>
        <w:tc>
          <w:p/>
          <w:p>
            <w:pPr>
              <w:spacing w:after="0" w:before="0" w:lineRule="auto" w:line="276"/>
              <w:jc w:val="left"/>
            </w:pPr>
            <w:r>
              <w:rPr>
                <w:rFonts w:ascii="Times New Roman" w:hAnsi="Times New Roman" w:cs="Times New Roman" w:eastAsia="Times New Roman"/>
                <w:b w:val="false"/>
                <w:sz w:val="26"/>
              </w:rPr>
              <w:t>Mẫu AH1.docx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Quyết định phong tặng hoặc truy tặng danh hiệu Anh hùng hoặc bản sao Bằng Anh hùng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Biên bản ủy quyền (Mẫu UQ Thông tư  05)</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bản khai cá nhân dùng cho thân nhân hoặc người thờ cúng Anh hùng lực lượng vũ trang nhân dân hoặc Anh hùng lao động trong thời kỳ kháng chiến (Mẫu AH2 Thông tư 05, kèm theo biên bản UQ Thông tư 05)</w:t>
            </w:r>
          </w:p>
        </w:tc>
        <w:tc>
          <w:p/>
          <w:p>
            <w:pPr>
              <w:spacing w:after="0" w:before="0" w:lineRule="auto" w:line="276"/>
              <w:jc w:val="left"/>
            </w:pPr>
            <w:r>
              <w:rPr>
                <w:rFonts w:ascii="Times New Roman" w:hAnsi="Times New Roman" w:cs="Times New Roman" w:eastAsia="Times New Roman"/>
                <w:b w:val="false"/>
                <w:sz w:val="26"/>
              </w:rPr>
              <w:t>Mẫu AH2.docx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xã, phường, thị trấn.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Sở Lao động-Thương binh và Xã hội</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Ủy ban nhân dân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trợ cấp hàng tháng, Quyết định trợ cấp một lần.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05/2013/TT-BLĐTBXH</w:t>
            </w:r>
          </w:p>
        </w:tc>
        <w:tc>
          <w:p/>
          <w:p>
            <w:pPr>
              <w:spacing w:after="0" w:before="0" w:lineRule="auto" w:line="276"/>
              <w:jc w:val="left"/>
            </w:pPr>
            <w:r>
              <w:rPr>
                <w:rFonts w:ascii="Times New Roman" w:hAnsi="Times New Roman" w:cs="Times New Roman" w:eastAsia="Times New Roman"/>
                <w:b w:val="false"/>
                <w:sz w:val="26"/>
              </w:rPr>
              <w:t>Thông tư 05/2013/TT-BLĐTBXH - Hướng dẫn về thủ tục lập hồ sơ, quản lý hồ sơ, thực hiện chế độ ưu đãi người có công với cách mạng và thân nhân</w:t>
            </w:r>
          </w:p>
        </w:tc>
        <w:tc>
          <w:p/>
          <w:p>
            <w:pPr>
              <w:spacing w:after="0" w:before="0" w:lineRule="auto" w:line="276"/>
              <w:jc w:val="left"/>
            </w:pPr>
            <w:r>
              <w:rPr>
                <w:rFonts w:ascii="Times New Roman" w:hAnsi="Times New Roman" w:cs="Times New Roman" w:eastAsia="Times New Roman"/>
                <w:b w:val="false"/>
                <w:sz w:val="26"/>
              </w:rPr>
              <w:t>15-05-2013</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04/2012/UBTVQH13</w:t>
            </w:r>
          </w:p>
        </w:tc>
        <w:tc>
          <w:p/>
          <w:p>
            <w:pPr>
              <w:spacing w:after="0" w:before="0" w:lineRule="auto" w:line="276"/>
              <w:jc w:val="left"/>
            </w:pPr>
            <w:r>
              <w:rPr>
                <w:rFonts w:ascii="Times New Roman" w:hAnsi="Times New Roman" w:cs="Times New Roman" w:eastAsia="Times New Roman"/>
                <w:b w:val="false"/>
                <w:sz w:val="26"/>
              </w:rPr>
              <w:t>Pháp lệnh 04/2012/UBTVQH13 - Sửa đổi, bổ sung một số điều của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16-07-2012</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31/2013/NĐ-CP</w:t>
            </w:r>
          </w:p>
        </w:tc>
        <w:tc>
          <w:p/>
          <w:p>
            <w:pPr>
              <w:spacing w:after="0" w:before="0" w:lineRule="auto" w:line="276"/>
              <w:jc w:val="left"/>
            </w:pPr>
            <w:r>
              <w:rPr>
                <w:rFonts w:ascii="Times New Roman" w:hAnsi="Times New Roman" w:cs="Times New Roman" w:eastAsia="Times New Roman"/>
                <w:b w:val="false"/>
                <w:sz w:val="26"/>
              </w:rPr>
              <w:t>Nghị định 31/2013/NĐ-CP - Hướng dẫn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09-04-2013</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2026-05-20T08:05:29Z</dcterms:created>
  <dc:creator>Apache POI</dc:creator>
</cp:coreProperties>
</file>