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1.002377.000.00.00.H56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thương binh và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Chuẩn bị hồ sơ.
Cá nhân, tổ chức chuẩn bị hồ sơ theo quy định của pháp luật.</w:t>
      </w:r>
    </w:p>
    <w:p>
      <w:pPr>
        <w:spacing w:after="0" w:before="0" w:lineRule="auto" w:line="276"/>
        <w:jc w:val="both"/>
      </w:pPr>
      <w:r>
        <w:rPr>
          <w:rFonts w:ascii="Times New Roman" w:hAnsi="Times New Roman" w:cs="Times New Roman" w:eastAsia="Times New Roman"/>
          <w:b w:val="false"/>
          <w:sz w:val="26"/>
        </w:rPr>
        <w:t xml:space="preserve"> Bước 2. Tiếp nhận hồ sơ của cá nhân, tổ chức.
a) Địa điểm tiếp nhận: Ủy ban nhân dân cấp xã nơi cá nhân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w:t>
      </w:r>
    </w:p>
    <w:p>
      <w:pPr>
        <w:spacing w:after="0" w:before="0" w:lineRule="auto" w:line="276"/>
        <w:jc w:val="both"/>
      </w:pPr>
      <w:r>
        <w:rPr>
          <w:rFonts w:ascii="Times New Roman" w:hAnsi="Times New Roman" w:cs="Times New Roman" w:eastAsia="Times New Roman"/>
          <w:b w:val="false"/>
          <w:sz w:val="26"/>
        </w:rPr>
        <w:t xml:space="preserve"> Bước 3. Xử lý hồ sơ của cá nhân, tổ chức.
- Cơ quan, đơn vị trực tiếp quản lý người bị thương có trách nhiệm xác lập, hoàn thiện các giấy tờ theo quy định gửi cơ quan có thẩm quyền cấp giấy chứng nhận bị thương.
Trường hợp bị thương trong chiến đấu hoặc trực tiếp phục vụ chiến đấu từ ngày 31 tháng 12 năm 1994 trở về trước thì gửi kèm đơn đề nghị của cá nhân.
- Thủ trưởng cơ quan, đơn vị có thẩm quyền cấp giấy chứng nhận bị thương trong thời gian 15 ngày kể từ ngày nhận đủ hồ sơ hợp lệ, có trách nhiệm kiểm tra, cấp giấy chứng nhận bị thương và chuyển hồ sơ đến Sở Lao động - Thương binh và Xã hội nơi người bị thương cư trú;
- Sở Lao động - Thương binh và Xã hội trong thời gian 15 ngày kể từ ngày tiếp nhận đủ hồ sơ hợp lệ, có trách nhiệm kiểm tra hồ sơ và giới thiệu người bị thương ra Hội đồng giám định y khoa cấp tỉnh kèm bản sao giấy chứng nhận bị thương để xác định tỷ lệ suy giảm khả năng lao động do thương tật;
- Hội đồng GĐYK trong thời gian không quá 40 ngày, có thẩm quyền tổ chức khám giám định, xác định lại tỷ lệ suy giảm khả năng lao động do thương tật, chuyển biên bản giám định y khoa đến Sở Lao động - Thương binh và Xã hội nơi đã giới thiệu giám định.
 - Giám đốc Sở Lao động - Thương binh và Xã hội trong thời gian 10 ngày kể từ ngày tiếp nhận biên bản giám định y khoa có trách nhiệm ra quyết định trợ cấp hàng tháng hoặc trợ cấp một lần.</w:t>
      </w:r>
    </w:p>
    <w:p>
      <w:pPr>
        <w:spacing w:after="0" w:before="0" w:lineRule="auto" w:line="276"/>
        <w:jc w:val="both"/>
      </w:pPr>
      <w:r>
        <w:rPr>
          <w:rFonts w:ascii="Times New Roman" w:hAnsi="Times New Roman" w:cs="Times New Roman" w:eastAsia="Times New Roman"/>
          <w:b w:val="false"/>
          <w:sz w:val="26"/>
        </w:rPr>
        <w:t xml:space="preserve"> Bước 4. Trả kết quả:
a) Địa điểm trả: Ủy ban nhân dân cấp xã nơi cá nhân đăng ký hộ khẩu thường trú.
b)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80 ngày. Trong đó:    
- Thủ trưởng cơ quan, đơn vị có thẩm quyền cấp giấy chứng nhận bị thương: 15 ngày;
- Sở Lao động - Thương binh và Xã hội tỉnh Thanh Hóa: 25 ngày;
- Hội đồng Giám định y khoa: 40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bị thương (Mẫu TB1 Thông tư số 05)</w:t>
            </w:r>
          </w:p>
        </w:tc>
        <w:tc>
          <w:p/>
          <w:p>
            <w:pPr>
              <w:spacing w:after="0" w:before="0" w:lineRule="auto" w:line="276"/>
              <w:jc w:val="left"/>
            </w:pPr>
            <w:r>
              <w:rPr>
                <w:rFonts w:ascii="Times New Roman" w:hAnsi="Times New Roman" w:cs="Times New Roman" w:eastAsia="Times New Roman"/>
                <w:b w:val="false"/>
                <w:sz w:val="26"/>
              </w:rPr>
              <w:t>Mẫu TB5.docx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làm căn cứ cấp giấy chứng nhận bị thương (quy định tại Điều 17, Thông tư 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giám định thương tật (Mẫu TB2 Thông tư số 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người hưởng chính sách như thương binh, Quyết định trợ cấp hàng tháng, 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45/2014/TTLT-BYT-BLĐTBXH</w:t>
            </w:r>
          </w:p>
        </w:tc>
        <w:tc>
          <w:p/>
          <w:p>
            <w:pPr>
              <w:spacing w:after="0" w:before="0" w:lineRule="auto" w:line="276"/>
              <w:jc w:val="left"/>
            </w:pPr>
            <w:r>
              <w:rPr>
                <w:rFonts w:ascii="Times New Roman" w:hAnsi="Times New Roman" w:cs="Times New Roman" w:eastAsia="Times New Roman"/>
                <w:b w:val="false"/>
                <w:sz w:val="26"/>
              </w:rPr>
              <w:t>Thông tư liên tịch 45/2014/TTLT-BYT-BLĐTBXH-Hướng dẫn khám giám định thương tật đối với thương binh và người hưởng chính sách như thương binh</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2026-05-20T08:10:51Z</dcterms:created>
  <dc:creator>Apache POI</dc:creator>
</cp:coreProperties>
</file>