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1.002519.000.00.00.H56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Chuẩn bị hồ sơ.
Cá nhân chuẩn bị hồ sơ theo quy định của pháp luật.</w:t>
      </w:r>
    </w:p>
    <w:p>
      <w:pPr>
        <w:spacing w:after="0" w:before="0" w:lineRule="auto" w:line="276"/>
        <w:jc w:val="both"/>
      </w:pPr>
      <w:r>
        <w:rPr>
          <w:rFonts w:ascii="Times New Roman" w:hAnsi="Times New Roman" w:cs="Times New Roman" w:eastAsia="Times New Roman"/>
          <w:b w:val="false"/>
          <w:sz w:val="26"/>
        </w:rPr>
        <w:t xml:space="preserve"> Bước 2. Tiếp nhận hồ sơ của cá nhân, tổ chức.
a) Địa điểm tiếp nhận:Ủy ban nhân dân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0" w:lineRule="auto" w:line="276"/>
        <w:jc w:val="both"/>
      </w:pPr>
      <w:r>
        <w:rPr>
          <w:rFonts w:ascii="Times New Roman" w:hAnsi="Times New Roman" w:cs="Times New Roman" w:eastAsia="Times New Roman"/>
          <w:b w:val="false"/>
          <w:sz w:val="26"/>
        </w:rPr>
        <w:t xml:space="preserve"> Bước 3. Xử lý hồ sơ của cá nhân, tổ chức.
- Ủy ban nhân dân cấp xã trong thời gian 05 ngày kể từ ngày nhận đủ giấy tờ hợp lệ có trách nhiệm xác nhận bản khai, kèm bản sao quyết định phong tặng/truy tặng gửi Phòng Lao động - Thương binh và Xã hội.
- Phòng Lao động - Thương binh và Xã hội trong thời gian 05 ngày kể từ ngày nhận đủ giấy tờ hợp lệ có trách nhiệm lập danh sách kèm bản khai cá nhân và bản sao quyết định phong tặng/truy tặng gửi Sở Lao động - Thương binh và Xã hội.
- Sở Lao động - Thương binh và Xã hội trong thời gian 10 ngày kể từ ngày nhận đủ giấy tờ, có trách nhiệm ra quyết định phụ cấp hàng tháng và trợ cấp người phục vụ Bà mẹ Việt Nam anh hùng hoặc quyết định trợ cấp một lần.
 * Trường hợp Bà mẹ Việt Nam anh hùng đang hưởng phụ cấp hàng tháng, Sở Lao động - Thương binh và Xã hội ra quyết định bổ sung trợ cấp người phục vụ.</w:t>
      </w:r>
    </w:p>
    <w:p>
      <w:pPr>
        <w:spacing w:after="0" w:before="0" w:lineRule="auto" w:line="276"/>
        <w:jc w:val="both"/>
      </w:pPr>
      <w:r>
        <w:rPr>
          <w:rFonts w:ascii="Times New Roman" w:hAnsi="Times New Roman" w:cs="Times New Roman" w:eastAsia="Times New Roman"/>
          <w:b w:val="false"/>
          <w:sz w:val="26"/>
        </w:rPr>
        <w:t xml:space="preserve"> Bước 4. Trả kết quả:
a) Địa điểm trả: Ủy ban nhân dân cấp xã nơi cá nhân đăng ký hộ khẩu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giải quyết công việc là 20 ngày, kề từ ngày nhận đủ hồ sơ hợp lệ. Trong đó:
- Ủy ban nhân dân cấp xã: 05 ngày.
- Phòng Lao động - Thương binh và Xã hội cấp huyện:  5 ngày.
- Sở Lao động - Thương binh và Xã hội: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(Mẫu BM1 hoặc BM2 Thông tư số 05)</w:t>
            </w:r>
          </w:p>
        </w:tc>
        <w:tc>
          <w:p/>
          <w:p>
            <w:pPr>
              <w:spacing w:after="0" w:before="0" w:lineRule="auto" w:line="276"/>
              <w:jc w:val="left"/>
            </w:pPr>
            <w:r>
              <w:rPr>
                <w:rFonts w:ascii="Times New Roman" w:hAnsi="Times New Roman" w:cs="Times New Roman" w:eastAsia="Times New Roman"/>
                <w:b w:val="false"/>
                <w:sz w:val="26"/>
              </w:rPr>
              <w:t>Mẫu BM1, BM2.docx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phong tặng hoặc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ủy quyền (Mẫu UQ)</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 nơi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phụ cấp, trợ cấp người phục vụ,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2026-05-20T08:01:39Z</dcterms:created>
  <dc:creator>Apache POI</dc:creator>
</cp:coreProperties>
</file>