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1.002738.000.00.00.H56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mua bảo hiểm y tế đối với người có công và thân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thuộc diện mua bảo hiểm y tế sau đây lập bản khai (Mẫu BH1 hoặc Mẫu BH2) gửi Ủy ban nhân dân cấp xã:
a) Người có công với cách mạng và thân nhân đang hưởng trợ cấp hàng tháng;
b) Người có công với cách mạng thuộc diện hưởng trợ cấp một lần; (trường hợp này phải kèm thêm bản sao Huân chương Kháng chiến, Huy chương Kháng chiến; Huân chương Chiến thắng, Huy chương Chiến thắng);
c) Thân nhân không thuộc diện hưởng trợ cấp hàng tháng của Liệt sĩ, Anh hùng Lực lượng vũ trang nhân dân, Anh hùng lao động trong thời kỳ kháng chiến; thương binh, bệnh binh, người hoạt động kháng chiến bị nhiễm chất độc hóa học suy giảm khả năng lao động 61% trở lên;
d) Người phục vụ Bà mẹ Việt Nam anh hùng; thương binh, bệnh binh, người hoạt động kháng chiến bị nhiễm chất độc hóa học suy giảm khả năng lao động từ 81% trở lên</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kể từ ngày nhận các giấy tờ quy định có trách nhiệm xác nhận bản khai, lập danh sách đề nghị mua thẻ bảo hiểm y tế tại địa phương gửi Phòng Lao động - Thương binh và Xã hội</w:t>
      </w:r>
    </w:p>
    <w:p>
      <w:pPr>
        <w:spacing w:after="0" w:before="0" w:lineRule="auto" w:line="276"/>
        <w:jc w:val="both"/>
      </w:pPr>
      <w:r>
        <w:rPr>
          <w:rFonts w:ascii="Times New Roman" w:hAnsi="Times New Roman" w:cs="Times New Roman" w:eastAsia="Times New Roman"/>
          <w:b w:val="false"/>
          <w:sz w:val="26"/>
        </w:rPr>
        <w:t>Bước 3.:Phòng Lao động - Thương binh và Xã hội trong thời gian 10 ngày kể từ ngày nhận đủ các giấy tờ quy định có trách nhiệm kiểm tra đối tượng thuộc diện được mua bảo hiểm y tế, đảm bảo nguyên tắc không cấp trùng thẻ bảo hiểm y tế; lập danh sách đề nghị cấp thẻ bảo hiểm y tế chuyển Sở Lao động - Thương binh và Xã hội</w:t>
      </w:r>
    </w:p>
    <w:p>
      <w:pPr>
        <w:spacing w:after="0" w:before="0" w:lineRule="auto" w:line="276"/>
        <w:jc w:val="both"/>
      </w:pPr>
      <w:r>
        <w:rPr>
          <w:rFonts w:ascii="Times New Roman" w:hAnsi="Times New Roman" w:cs="Times New Roman" w:eastAsia="Times New Roman"/>
          <w:b w:val="false"/>
          <w:sz w:val="26"/>
        </w:rPr>
        <w:t>Bước 4: Sở Lao động - Thương binh và Xã hội trong thời gian 15 ngày kể từ ngày nhận đủ các giấy tờ quy định tại có trách nhiệm kiểm tra, rà soát và làm thủ tục mua bảo hiểm y tế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(Mẫu BH1 hoặc Mẫu BH2)</w:t>
            </w:r>
          </w:p>
        </w:tc>
        <w:tc>
          <w:p/>
          <w:p>
            <w:pPr>
              <w:spacing w:after="0" w:before="0" w:lineRule="auto" w:line="276"/>
              <w:jc w:val="left"/>
            </w:pPr>
            <w:r>
              <w:rPr>
                <w:rFonts w:ascii="Times New Roman" w:hAnsi="Times New Roman" w:cs="Times New Roman" w:eastAsia="Times New Roman"/>
                <w:b w:val="false"/>
                <w:sz w:val="26"/>
              </w:rPr>
              <w:t>các Mẫu  BH.doc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Huân chương Kháng chiến, Huy chương Kháng chiến; Huân chương Chiến thắng, Huy chương Chiến thắng (nếu cần)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bảo hiểm y tế (BHYT)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có công với cách mạng và thân nhân đang hưởng trợ cấp hàng tháng;
+  Người có công với cách mạng thuộc diện hưởng trợ cấp một lần; (trường hợp này phải kèm thêm bản sao Huân chương Kháng chiến, Huy chương Kháng chiến; Huân chương Chiến thắng, Huy chương Chiến thắng);
+ Thân nhân không thuộc diện hưởng trợ cấp hàng tháng của Liệt sĩ, Anh hùng Lực lượng vũ trang nhân dân, Anh hùng lao động trong thời kỳ kháng chiến; thương binh, bệnh binh, người hoạt động kháng chiến bị nhiễm chất độc hóa học suy giảm khả năng lao động 61% trở lên;
+ Người phục vụ Bà mẹ Việt Nam anh hùng; thương binh, bệnh binh, người hoạt động kháng chiến bị nhiễm chất độc hóa học suy giảm khả năng lao động từ 81%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2026-05-20T08:03:48Z</dcterms:created>
  <dc:creator>Apache POI</dc:creator>
</cp:coreProperties>
</file>