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2.001909.000.00.00.H56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1605/QĐ-UBND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tiếp công dân tại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Tiếp công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Đón tiếp, xác định nhân thân của công dân
Người tiếp công dân đón tiếp, yêu cầu công dân nêu rõ họ tên, địa chỉ hoặc xuất trình giấy tờ tuỳ thân; trường hợp được ủy quyền thì yêu cầu xuất trình giấy ủy quyền.</w:t>
      </w:r>
    </w:p>
    <w:p>
      <w:pPr>
        <w:spacing w:after="0" w:before="0" w:lineRule="auto" w:line="276"/>
        <w:jc w:val="both"/>
      </w:pPr>
      <w:r>
        <w:rPr>
          <w:rFonts w:ascii="Times New Roman" w:hAnsi="Times New Roman" w:cs="Times New Roman" w:eastAsia="Times New Roman"/>
          <w:b w:val="false"/>
          <w:sz w:val="26"/>
        </w:rPr>
        <w:t>- Bước 2: Nghe, ghi chép nội dung khiếu nại, tố cáo, kiến nghị, phản ánh, tiếp nhận thông tin, tài liệu
Khi người khiếu nại, tố cáo, kiến nghị, phản ánh có đơn trình bày nội dung rõ ràng, đầy đủ thì người tiếp công dân cần xác định nội dung vụ việc, yêu cầu của công dân để xử lý cho phù hợp.
Nếu nội dung đơn khiếu nại tố cáo, kiến nghị, phản ánh không rõ ràng, chưa đầy đủ thì người tiếp công dân đề nghị công dân viết lại đơn hoặc viết bổ sung vào đơn những nội dung chưa rõ, còn thiếu.
Trường hợp không có đơn khiếu nại, tố cáo, kiến nghị, phản ánh thì người tiếp công dân hướng dẫn công dân viết đơn theo quy định của pháp luật.
Nếu công dân trình bày trực tiếp thì người tiếp công dân ghi chép đầy đủ, trung thực, chính xác nội dung khiếu nại, tố cáo, kiến nghị, phản ánh do công dân trình bày; nội dung nào chưa rõ thì đề nghị công dân trình bày thêm, sau đó đọc lại cho công dân nghe và đề nghị công dân ký tên hoặc điểm chỉ xác nhận vào văn bản.
Trường hợp nhiều người đến khiếu nại, tố cáo, kiến nghị, phản ánh về cùng một nội dung thì người tiếp công dân hướng dẫn họ cử người đại diện để trình bày nội dung khiếu nại, tố cáo, kiến nghị, phản ánh; người tiếp công dân ghi lại nội dung bằng văn bản.
Trường hợp đơn có nhiều nội dung khác nhau thì người tiếp công dân hướng dẫn công dân tách riêng từng nội dung để gửi đến đúng cơ quan, tổ chức, đơn vị có thẩm quyền giải quyết.
Người tiếp công dân tiếp nhận các thông tin, tài liệu, bằng chứng liên quan đến việc khiếu nại, tố cáo, kiến nghị, phản ánh do công dân cung cấp (nếu có) và phải viết, giao giấy  biên nhận các tài liệu đã tiếp nhận cho công dân.</w:t>
      </w:r>
    </w:p>
    <w:p>
      <w:pPr>
        <w:spacing w:after="0" w:before="0" w:lineRule="auto" w:line="276"/>
        <w:jc w:val="both"/>
      </w:pPr>
      <w:r>
        <w:rPr>
          <w:rFonts w:ascii="Times New Roman" w:hAnsi="Times New Roman" w:cs="Times New Roman" w:eastAsia="Times New Roman"/>
          <w:b w:val="false"/>
          <w:sz w:val="26"/>
        </w:rPr>
        <w:t>Bước 3: Phân loại, xử lý khiếu nại, tố cáo, kiến nghị, phản ánh  tại nơi tiếp công dân
-  Việc phân loại, xử lý khiếu nại, tố cáo đến cơ quan, tổ chức, đơn vị, người có thẩm quyền thụ lý, giải quyết trong quá trình tiếp công dân được thực hiện như sau:
+ Trường hợp khiếu nại, tố cáo thuộc thẩm quyền giải quyết của cơ quan, tổ chức, đơn vị mình và đủ điều kiện thụ lý thì người tiếp công dân tiếp nhận thông tin, tài liệu, chứng cứ kèm theo, đồng thời báo cáo với Thủ trưởng cơ quan, tổ chức, đơn vị thụ lý.
+ Trường hợp khiếu nại, tố cáo không thuộc thẩm quyền giải quyết của cơ quan, tổ chức, đơn vị mình thì hướng dẫn người khiếu nại, tố cáo đến cơ quan, tổ chức, đơn vị có thẩm quyền để khiếu nại, tố cáo.
+ Trường hợp khiếu nại, tố cáo đã được giải quyết đúng chính sách, pháp luật thì người tiếp công dân giải thích, hướng dẫn để người đến khiếu nại, tố cáo chấp hành nghiêm chỉnh quyết định giải quyết khiếu nại, quyết định xử lý hành vi vi phạm bị tố cáo và yêu cầu công dân chấm dứt việc khiếu nại, tố cáo.
+ Trường hợp nhận được đơn khiếu nại, tố cáo không do người khiếu nại, người tố cáo trực tiếp chuyển đến thì thực hiện việc phân loại và xử lý theo quy định của pháp luật về khiếu nại, tố cáo.
- Việc phân loại, xử lý kiến nghị, phản ánh đến cơ quan, tổ chức, đơn vị, người có thẩm quyền thụ lý, giải quyết trong quá trình tiếp công dân được thực hiện như sau:
+ Trường hợp kiến nghị, phản ánh thuộc thẩm quyền giải quyết của cơ quan, tổ chức, đơn vị mình thì người tiếp công dân báo cáo người có thẩm quyền để nghiên cứu, xem xét, giải quyết hoặc phân công bộ phận nghiên cứu, xem xét, giải quyết.
+ Trường hợp kiến nghị, phản ánh không thuộc thẩm quyền giải quyết của cơ quan, tổ chức, đơn vị mình thì người tiếp công dân chuyển đơn hoặc chuyển bản ghi lại nội dung trình bày của người kiến nghị, phản ánh đến cơ quan, tổ chức, đơn vị có thẩm quyền để nghiên cứu, tiếp thu, xem xét, giải quyết.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khoản 1 Điều 28 Luật Tiếp công dân:
Trong thời hạn 10 ngày làm việc, kể từ ngày tiếp nhận nội dung khiếu nại, tố cáo, kiến nghị, phản ánh, người tiếp công dân có trách nhiệm trả lời trực tiếp hoặc thông báo bằng văn bản đến người đã đến khiếu nại, tố cáo, kiến nghị, phản ánh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Các tài liệu, giấy tờ do người khiếu nại, tố cáo,kiến nghị, phản ánh cung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khiếu nai, tố cáo, kiến nghị, phản ánh hoặc van bản ghi lại nội dung khiếu nịa, tố cáo, kiến nghị, phản ánh (có chữ ký hoặc điểm chỉ của công dân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trụ sở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Cán bộ tiếp dân trả lời trực tiếp hoặc có thông báo bằng văn bản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03/2011/QH13</w:t>
            </w:r>
          </w:p>
        </w:tc>
        <w:tc>
          <w:p/>
          <w:p>
            <w:pPr>
              <w:spacing w:after="0" w:before="0" w:lineRule="auto" w:line="276"/>
              <w:jc w:val="left"/>
            </w:pPr>
            <w:r>
              <w:rPr>
                <w:rFonts w:ascii="Times New Roman" w:hAnsi="Times New Roman" w:cs="Times New Roman" w:eastAsia="Times New Roman"/>
                <w:b w:val="false"/>
                <w:sz w:val="26"/>
              </w:rPr>
              <w:t>Luật 03/2011/QH13</w:t>
            </w:r>
          </w:p>
        </w:tc>
        <w:tc>
          <w:p/>
          <w:p>
            <w:pPr>
              <w:spacing w:after="0" w:before="0" w:lineRule="auto" w:line="276"/>
              <w:jc w:val="left"/>
            </w:pPr>
            <w:r>
              <w:rPr>
                <w:rFonts w:ascii="Times New Roman" w:hAnsi="Times New Roman" w:cs="Times New Roman" w:eastAsia="Times New Roman"/>
                <w:b w:val="false"/>
                <w:sz w:val="26"/>
              </w:rPr>
              <w:t>11-11-2011</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75/2012/NĐ-CP</w:t>
            </w:r>
          </w:p>
        </w:tc>
        <w:tc>
          <w:p/>
          <w:p>
            <w:pPr>
              <w:spacing w:after="0" w:before="0" w:lineRule="auto" w:line="276"/>
              <w:jc w:val="left"/>
            </w:pPr>
            <w:r>
              <w:rPr>
                <w:rFonts w:ascii="Times New Roman" w:hAnsi="Times New Roman" w:cs="Times New Roman" w:eastAsia="Times New Roman"/>
                <w:b w:val="false"/>
                <w:sz w:val="26"/>
              </w:rPr>
              <w:t>Nghị định 75/2012/NĐ-CP - Quy định chi tiết một số điều của Luật Khiếu nại</w:t>
            </w:r>
          </w:p>
        </w:tc>
        <w:tc>
          <w:p/>
          <w:p>
            <w:pPr>
              <w:spacing w:after="0" w:before="0" w:lineRule="auto" w:line="276"/>
              <w:jc w:val="left"/>
            </w:pPr>
            <w:r>
              <w:rPr>
                <w:rFonts w:ascii="Times New Roman" w:hAnsi="Times New Roman" w:cs="Times New Roman" w:eastAsia="Times New Roman"/>
                <w:b w:val="false"/>
                <w:sz w:val="26"/>
              </w:rPr>
              <w:t>03-10-2012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02/2011/QH13</w:t>
            </w:r>
          </w:p>
        </w:tc>
        <w:tc>
          <w:p/>
          <w:p>
            <w:pPr>
              <w:spacing w:after="0" w:before="0" w:lineRule="auto" w:line="276"/>
              <w:jc w:val="left"/>
            </w:pPr>
            <w:r>
              <w:rPr>
                <w:rFonts w:ascii="Times New Roman" w:hAnsi="Times New Roman" w:cs="Times New Roman" w:eastAsia="Times New Roman"/>
                <w:b w:val="false"/>
                <w:sz w:val="26"/>
              </w:rPr>
              <w:t>Luật 02/2011/QH13 - Luật Khiếu nại</w:t>
            </w:r>
          </w:p>
        </w:tc>
        <w:tc>
          <w:p/>
          <w:p>
            <w:pPr>
              <w:spacing w:after="0" w:before="0" w:lineRule="auto" w:line="276"/>
              <w:jc w:val="left"/>
            </w:pPr>
            <w:r>
              <w:rPr>
                <w:rFonts w:ascii="Times New Roman" w:hAnsi="Times New Roman" w:cs="Times New Roman" w:eastAsia="Times New Roman"/>
                <w:b w:val="false"/>
                <w:sz w:val="26"/>
              </w:rPr>
              <w:t>11-11-2011</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76/2012/NĐ-CP</w:t>
            </w:r>
          </w:p>
        </w:tc>
        <w:tc>
          <w:p/>
          <w:p>
            <w:pPr>
              <w:spacing w:after="0" w:before="0" w:lineRule="auto" w:line="276"/>
              <w:jc w:val="left"/>
            </w:pPr>
            <w:r>
              <w:rPr>
                <w:rFonts w:ascii="Times New Roman" w:hAnsi="Times New Roman" w:cs="Times New Roman" w:eastAsia="Times New Roman"/>
                <w:b w:val="false"/>
                <w:sz w:val="26"/>
              </w:rPr>
              <w:t>Nghị định 76/2012/NĐ-CP - Quy định chi tiết thi hành một số điều của Luật Tố cáo</w:t>
            </w:r>
          </w:p>
        </w:tc>
        <w:tc>
          <w:p/>
          <w:p>
            <w:pPr>
              <w:spacing w:after="0" w:before="0" w:lineRule="auto" w:line="276"/>
              <w:jc w:val="left"/>
            </w:pPr>
            <w:r>
              <w:rPr>
                <w:rFonts w:ascii="Times New Roman" w:hAnsi="Times New Roman" w:cs="Times New Roman" w:eastAsia="Times New Roman"/>
                <w:b w:val="false"/>
                <w:sz w:val="26"/>
              </w:rPr>
              <w:t>03-10-2012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06/2014/TT-TTCP</w:t>
            </w:r>
          </w:p>
        </w:tc>
        <w:tc>
          <w:p/>
          <w:p>
            <w:pPr>
              <w:spacing w:after="0" w:before="0" w:lineRule="auto" w:line="276"/>
              <w:jc w:val="left"/>
            </w:pPr>
            <w:r>
              <w:rPr>
                <w:rFonts w:ascii="Times New Roman" w:hAnsi="Times New Roman" w:cs="Times New Roman" w:eastAsia="Times New Roman"/>
                <w:b w:val="false"/>
                <w:sz w:val="26"/>
              </w:rPr>
              <w:t>Thông tư 06/2014/TT-TTCP</w:t>
            </w:r>
          </w:p>
        </w:tc>
        <w:tc>
          <w:p/>
          <w:p>
            <w:pPr>
              <w:spacing w:after="0" w:before="0" w:lineRule="auto" w:line="276"/>
              <w:jc w:val="left"/>
            </w:pPr>
            <w:r>
              <w:rPr>
                <w:rFonts w:ascii="Times New Roman" w:hAnsi="Times New Roman" w:cs="Times New Roman" w:eastAsia="Times New Roman"/>
                <w:b w:val="false"/>
                <w:sz w:val="26"/>
              </w:rPr>
              <w:t>31-10-2014</w:t>
            </w:r>
          </w:p>
        </w:tc>
        <w:tc>
          <w:p/>
          <w:p>
            <w:pPr>
              <w:spacing w:after="0" w:before="0" w:lineRule="auto" w:line="276"/>
              <w:jc w:val="left"/>
            </w:pPr>
            <w:r>
              <w:rPr>
                <w:rFonts w:ascii="Times New Roman" w:hAnsi="Times New Roman" w:cs="Times New Roman" w:eastAsia="Times New Roman"/>
                <w:b w:val="false"/>
                <w:sz w:val="26"/>
              </w:rPr>
              <w:t>Thanh tra Chính phủ</w:t>
            </w:r>
          </w:p>
        </w:tc>
      </w:tr>
      <w:tr>
        <w:tc>
          <w:p/>
          <w:p>
            <w:pPr>
              <w:spacing w:after="0" w:before="0" w:lineRule="auto" w:line="276"/>
              <w:jc w:val="left"/>
            </w:pPr>
            <w:r>
              <w:rPr>
                <w:rFonts w:ascii="Times New Roman" w:hAnsi="Times New Roman" w:cs="Times New Roman" w:eastAsia="Times New Roman"/>
                <w:b w:val="false"/>
                <w:sz w:val="26"/>
              </w:rPr>
              <w:t>06/2014/TT-TTCP</w:t>
            </w:r>
          </w:p>
        </w:tc>
        <w:tc>
          <w:p/>
          <w:p>
            <w:pPr>
              <w:spacing w:after="0" w:before="0" w:lineRule="auto" w:line="276"/>
              <w:jc w:val="left"/>
            </w:pPr>
            <w:r>
              <w:rPr>
                <w:rFonts w:ascii="Times New Roman" w:hAnsi="Times New Roman" w:cs="Times New Roman" w:eastAsia="Times New Roman"/>
                <w:b w:val="false"/>
                <w:sz w:val="26"/>
              </w:rPr>
              <w:t>Thông tư 06/2014/TT-TTCP</w:t>
            </w:r>
          </w:p>
        </w:tc>
        <w:tc>
          <w:p/>
          <w:p>
            <w:pPr>
              <w:spacing w:after="0" w:before="0" w:lineRule="auto" w:line="276"/>
              <w:jc w:val="left"/>
            </w:pPr>
            <w:r>
              <w:rPr>
                <w:rFonts w:ascii="Times New Roman" w:hAnsi="Times New Roman" w:cs="Times New Roman" w:eastAsia="Times New Roman"/>
                <w:b w:val="false"/>
                <w:sz w:val="26"/>
              </w:rPr>
              <w:t>31-10-2014</w:t>
            </w:r>
          </w:p>
        </w:tc>
        <w:tc>
          <w:p/>
          <w:p>
            <w:pPr>
              <w:spacing w:after="0" w:before="0" w:lineRule="auto" w:line="276"/>
              <w:jc w:val="left"/>
            </w:pPr>
            <w:r>
              <w:rPr>
                <w:rFonts w:ascii="Times New Roman" w:hAnsi="Times New Roman" w:cs="Times New Roman" w:eastAsia="Times New Roman"/>
                <w:b w:val="false"/>
                <w:sz w:val="26"/>
              </w:rPr>
              <w:t>Thanh tra Chính phủ</w:t>
            </w:r>
          </w:p>
        </w:tc>
      </w:tr>
      <w:tr>
        <w:tc>
          <w:p/>
          <w:p>
            <w:pPr>
              <w:spacing w:after="0" w:before="0" w:lineRule="auto" w:line="276"/>
              <w:jc w:val="left"/>
            </w:pPr>
            <w:r>
              <w:rPr>
                <w:rFonts w:ascii="Times New Roman" w:hAnsi="Times New Roman" w:cs="Times New Roman" w:eastAsia="Times New Roman"/>
                <w:b w:val="false"/>
                <w:sz w:val="26"/>
              </w:rPr>
              <w:t>42/2013/QH13</w:t>
            </w:r>
          </w:p>
        </w:tc>
        <w:tc>
          <w:p/>
          <w:p>
            <w:pPr>
              <w:spacing w:after="0" w:before="0" w:lineRule="auto" w:line="276"/>
              <w:jc w:val="left"/>
            </w:pPr>
            <w:r>
              <w:rPr>
                <w:rFonts w:ascii="Times New Roman" w:hAnsi="Times New Roman" w:cs="Times New Roman" w:eastAsia="Times New Roman"/>
                <w:b w:val="false"/>
                <w:sz w:val="26"/>
              </w:rPr>
              <w:t>Luật 42/2013/QH13</w:t>
            </w:r>
          </w:p>
        </w:tc>
        <w:tc>
          <w:p/>
          <w:p>
            <w:pPr>
              <w:spacing w:after="0" w:before="0" w:lineRule="auto" w:line="276"/>
              <w:jc w:val="left"/>
            </w:pPr>
            <w:r>
              <w:rPr>
                <w:rFonts w:ascii="Times New Roman" w:hAnsi="Times New Roman" w:cs="Times New Roman" w:eastAsia="Times New Roman"/>
                <w:b w:val="false"/>
                <w:sz w:val="26"/>
              </w:rPr>
              <w:t>25-11-2013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64/2014/NĐ-CP</w:t>
            </w:r>
          </w:p>
        </w:tc>
        <w:tc>
          <w:p/>
          <w:p>
            <w:pPr>
              <w:spacing w:after="0" w:before="0" w:lineRule="auto" w:line="276"/>
              <w:jc w:val="left"/>
            </w:pPr>
            <w:r>
              <w:rPr>
                <w:rFonts w:ascii="Times New Roman" w:hAnsi="Times New Roman" w:cs="Times New Roman" w:eastAsia="Times New Roman"/>
                <w:b w:val="false"/>
                <w:sz w:val="26"/>
              </w:rPr>
              <w:t>Nghị định 64/2014/NĐ-CP</w:t>
            </w:r>
          </w:p>
        </w:tc>
        <w:tc>
          <w:p/>
          <w:p>
            <w:pPr>
              <w:spacing w:after="0" w:before="0" w:lineRule="auto" w:line="276"/>
              <w:jc w:val="left"/>
            </w:pPr>
            <w:r>
              <w:rPr>
                <w:rFonts w:ascii="Times New Roman" w:hAnsi="Times New Roman" w:cs="Times New Roman" w:eastAsia="Times New Roman"/>
                <w:b w:val="false"/>
                <w:sz w:val="26"/>
              </w:rPr>
              <w:t>26-06-2014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Theo Điều 9, Luật tiếp công dân, người tiếp công dân được từ chối tiếp người đến nơi tiếp công dân trong các trường hợp sau đây:
1. Người trong tình trạng say do dùng chất kích thích, người mắc bệnh tâm thần hoặc một bệnh khác làm mất khả năng nhận thức hoặc khả năng điều khiển hành vi của mình;
2. Người có hành vi đe dọa, xúc phạm cơ quan, tổ chức, đơn vị, người tiếp công dân, người thi hành công vụ hoặc có hành vi khác vi phạm nội quy nơi tiếp công dân;
3. Người khiếu nại, tố cáo về vụ việc đã giải quyết đúng chính sách, pháp luật, được cơ quan nhà nước có thẩm quyền kiểm tra, rà soát, thông báo bằng văn bản và đã được tiếp, giải thích, hướng dẫn nhưng vẫn cố tình khiếu nại, tố cáo kéo dài;
4. Những trường hợp khác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2026-05-20T07:59:16Z</dcterms:created>
  <dc:creator>Apache POI</dc:creator>
</cp:coreProperties>
</file>