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2.000191.000.00.00.H36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1441/QĐ-UBND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hợp đồng theo mẫu, điều kiện giao dịch chung thuộc thẩm quyền của Sở Công Thương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bảo vệ quyền lợi người tiêu dùng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Tổ chức, cá nhân đăng ký hợp đồng theo mẫu, điều kiện giao dịch chung lập 01 bộ hồ sơ quy định tại khoản 1 Điều 8 Nghị định số 55/2024/NĐ-CP ngày 16 tháng 5 năm 2024 gửi qua đường bưu điện hoặc gửi trực tiếp hoặc trực tuyến trên môi trường điện tử đến cơ quan quản lý nhà nước về bảo vệ quyền lợi người tiêu dùng thuộc Ủy ban nhân dân cấp tỉnh (cơ quan quản lý nhà nước về bảo vệ quyền lợi người tiêu dùng); 
	- Tổ chức, cá nhân kinh doanh nộp hồ sơ được nhận phiếu tiếp nhận hồ sơ, trong đó ghi rõ thời gian nhận và ngày trả kết quả. 
	- Trong thời hạn 05 ngày làm việc kể từ ngày tiếp nhận hồ sơ, Ủy ban nhân dân cấp tỉnh (cơ quan quản lý nhà nước về bảo vệ quyền lợi người tiêu dùng) có trách nhiệm kiểm tra tính đầy đủ, hợp lệ của hồ sơ. Trường hợp hồ sơ chưa đầy đủ, hợp lệ, Ủy ban nhân dân cấp tỉnh (cơ quan quản lý nhà nước về bảo vệ quyền lợi người tiêu dùng) thông báo bằng văn bản theo Mẫu số 03 tại Phụ lục ban hành kèm theo Nghị định số 55/2024/NĐ-CP ngày 16 tháng 5 năm 2024 để tổ chức, cá nhân kinh doanh sửa đổi, bổ sung hồ sơ. Trường hợp hồ sơ đầy đủ, hợp lệ, Ủy ban nhân dân cấp tỉnh (cơ quan quản lý nhà nước về bảo vệ quyền lợi người tiêu dùng) tiến hành thẩm định hồ sơ theo quy định. 
	- Cơ quan quản lý nhà nước về bảo vệ quyền lợi người tiêu dùng thuộc Ủy ban nhân dân cấp tỉnh có trách nhiệm thẩm định hồ sơ trong thời hạn 30 ngày, kể từ ngày nhận đủ hồ sơ hợp lệ quy định tại Điều 9 Nghị định số 55/2024/NĐ-CP ngày 16 tháng 5 năm 2024, và có thể được gia hạn thêm tối đa không quá 30 ngày trong trường hợp phức tạp. Trong trường hợp gia hạn, Ủy ban nhân dân cấp tỉnh (cơ quan quản lý nhà nước về bảo vệ quyền lợi người tiêu dùng) thông báo kịp thời cho tổ chức, cá nhân kinh doanh về thời gian và lý do gia hạn. 
	Trong quá trình thẩm định hồ sơ đăng ký, Ủy ban nhân dân cấp tỉnh (cơ quan quản lý nhà nước về bảo vệ quyền lợi người tiêu dùng) có quyền yêu cầu tổ chức, cá nhân kinh doanh giải trình về các vấn đề cần thiết liên quan đến nội dung đăng ký. 
	Trường hợp hồ sơ của tổ chức, cá nhân kinh doanh tuân thủ đầy đủ quy định tại Điều 11 của Nghị định số 55/2024/NĐ-CP ngày 16 tháng 5 năm 2024, cơ quan quản lý nhà nước về bảo vệ quyền lợi người tiêu dùng thuộc Ủy ban nhân dân cấp tỉnh ra thông báo về việc hoàn thành đăng ký hợp đồng theo mẫu, điều kiện giao dịch chung theo Mẫu số 04 tại Phụ lục ban hành kèm theo Nghị định số 55/2024/NĐ-CP ngày 16 tháng 5 năm 2024. Trường hợp hồ sơ của tổ chức, cá nhân kinh doanh không tuân thủ đầy đủ quy định tại Điều 11 của Nghị định số 55/2024/NĐ-CP ngày 16 tháng 5 năm 2024, cơ quan quản lý nhà nước về bảo vệ quyền lợi người tiêu dùng thuộc Ủy ban nhân dân cấp tỉnh   thông báo bằng văn bản kết quả thẩm định hồ sơ và nêu rõ lý do hồ sơ chưa hoàn thành đăng ký theo Mẫu số 05 tại Phụ lục ban hành kèm theo Nghị định số 55/2024/NĐ-CP ngày 16 tháng 5 năm 2024;
	Sau khi hoàn thành thủ tục đăng ký, thông tin về tổ chức, cá nhân kinh doanh và bản hợp đồng theo mẫu, điều kiện giao dịch chung đã hoàn thành đăng ký được công bố công khai và lưu trữ trên cổng thông tin điện tử của cơ quan quản lý nhà nước về bảo vệ quyền lợi người tiêu dùng thuộc Ủy ban nhân dân cấp tỉnh. Tổ chức, cá nhân kinh doanh có trách nhiệm công bố công khai thông báo hoàn thành đăng ký và bản hợp đồng theo mẫu, điều kiện giao dịch chung đã hoàn thành đăng ký theo hình thức niêm yết ở vị trí dễ nhìn thấy tại trụ sở, địa điểm kinh doanh và đăng tải trên cổng thông tin điện tử, phần mềm ứng dụng (nếu có) trong toàn bộ thời gian áp dụng bản hợp đồng theo mẫu, điều kiện giao dịch chung đó.</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30 ngày kể từ ngày nhận đủ hồ sơ hợp lệ và có thể gia hạn thêm tối đa không quá 30 ngày trong trường hợp phức tạp</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30 ngày kể từ ngày nhận đủ hồ sơ hợp lệ và có thể gia hạn thêm tối đa không quá 30 ngày trong trường hợp phức tạp</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30 ngày kể từ ngày nhận đủ hồ sơ hợp lệ và có thể gia hạn thêm tối đa không quá 30 ngày trong trường hợp phức tạp</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đăng ký hợp đồng theo mẫu, điều kiện giao dịch chung theo Mẫu số 02 tại Phụ lục ban hành kèm theo Nghị định số 55/2024/NĐ-CP ngày 16 tháng 5 năm 2024;</w:t>
            </w:r>
          </w:p>
        </w:tc>
        <w:tc>
          <w:p/>
          <w:p>
            <w:pPr>
              <w:spacing w:after="0" w:before="0" w:lineRule="auto" w:line="276"/>
              <w:jc w:val="left"/>
            </w:pPr>
            <w:r>
              <w:rPr>
                <w:rFonts w:ascii="Times New Roman" w:hAnsi="Times New Roman" w:cs="Times New Roman" w:eastAsia="Times New Roman"/>
                <w:b w:val="false"/>
                <w:sz w:val="26"/>
              </w:rPr>
              <w:t>Mẫu số 02.doc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Dự thảo hợp đồng theo mẫu, điều kiện giao dịch chung bằng tiếng Việt.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Công Thương - Tỉnh Lâm Đồng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Sở Công Thương - Tỉnh Lâm Đồng</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Lâm Đồng số 36 Trần Phú, P4 Đà Lạt</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Thông báo hoàn thành đăng ký hợp đồng theo mẫu, điều kiện giao dịch chung.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59/2010/QH1</w:t>
            </w:r>
          </w:p>
        </w:tc>
        <w:tc>
          <w:p/>
          <w:p>
            <w:pPr>
              <w:spacing w:after="0" w:before="0" w:lineRule="auto" w:line="276"/>
              <w:jc w:val="left"/>
            </w:pPr>
            <w:r>
              <w:rPr>
                <w:rFonts w:ascii="Times New Roman" w:hAnsi="Times New Roman" w:cs="Times New Roman" w:eastAsia="Times New Roman"/>
                <w:b w:val="false"/>
                <w:sz w:val="26"/>
              </w:rPr>
              <w:t>Luật Bảo vệ quyền lợi người tiêu dùng</w:t>
            </w:r>
          </w:p>
        </w:tc>
        <w:tc>
          <w:p/>
          <w:p>
            <w:pPr>
              <w:spacing w:after="0" w:before="0" w:lineRule="auto" w:line="276"/>
              <w:jc w:val="left"/>
            </w:pPr>
            <w:r>
              <w:rPr>
                <w:rFonts w:ascii="Times New Roman" w:hAnsi="Times New Roman" w:cs="Times New Roman" w:eastAsia="Times New Roman"/>
                <w:b w:val="false"/>
                <w:sz w:val="26"/>
              </w:rPr>
              <w:t>17-11-2010</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55/2024/NĐ-CP</w:t>
            </w:r>
          </w:p>
        </w:tc>
        <w:tc>
          <w:p/>
          <w:p>
            <w:pPr>
              <w:spacing w:after="0" w:before="0" w:lineRule="auto" w:line="276"/>
              <w:jc w:val="left"/>
            </w:pPr>
            <w:r>
              <w:rPr>
                <w:rFonts w:ascii="Times New Roman" w:hAnsi="Times New Roman" w:cs="Times New Roman" w:eastAsia="Times New Roman"/>
                <w:b w:val="false"/>
                <w:sz w:val="26"/>
              </w:rPr>
              <w:t>Quy định chi tiết một số điều của Luật Bảo vệ quyền lợi người tiêu dùng</w:t>
            </w:r>
          </w:p>
        </w:tc>
        <w:tc>
          <w:p/>
          <w:p>
            <w:pPr>
              <w:spacing w:after="0" w:before="0" w:lineRule="auto" w:line="276"/>
              <w:jc w:val="left"/>
            </w:pPr>
            <w:r>
              <w:rPr>
                <w:rFonts w:ascii="Times New Roman" w:hAnsi="Times New Roman" w:cs="Times New Roman" w:eastAsia="Times New Roman"/>
                <w:b w:val="false"/>
                <w:sz w:val="26"/>
              </w:rPr>
              <w:t>16-05-2024</w:t>
            </w:r>
          </w:p>
        </w:tc>
        <w:tc>
          <w:p/>
          <w:p>
            <w:pPr>
              <w:spacing w:after="0" w:before="0" w:lineRule="auto" w:line="276"/>
              <w:jc w:val="left"/>
            </w:pPr>
            <w:r>
              <w:rPr>
                <w:rFonts w:ascii="Times New Roman" w:hAnsi="Times New Roman" w:cs="Times New Roman" w:eastAsia="Times New Roman"/>
                <w:b w:val="false"/>
                <w:sz w:val="26"/>
              </w:rPr>
              <w:t>Bộ trưởng, Chủ nhiệm Văn phòng Chính phủ</w:t>
            </w:r>
          </w:p>
        </w:tc>
      </w:tr>
      <w:tr>
        <w:tc>
          <w:p/>
          <w:p>
            <w:pPr>
              <w:spacing w:after="0" w:before="0" w:lineRule="auto" w:line="276"/>
              <w:jc w:val="left"/>
            </w:pPr>
            <w:r>
              <w:rPr>
                <w:rFonts w:ascii="Times New Roman" w:hAnsi="Times New Roman" w:cs="Times New Roman" w:eastAsia="Times New Roman"/>
                <w:b w:val="false"/>
                <w:sz w:val="26"/>
              </w:rPr>
              <w:t>nghị định 146/2025</w:t>
            </w:r>
          </w:p>
        </w:tc>
        <w:tc>
          <w:p/>
          <w:p>
            <w:pPr>
              <w:spacing w:after="0" w:before="0" w:lineRule="auto" w:line="276"/>
              <w:jc w:val="left"/>
            </w:pPr>
            <w:r>
              <w:rPr>
                <w:rFonts w:ascii="Times New Roman" w:hAnsi="Times New Roman" w:cs="Times New Roman" w:eastAsia="Times New Roman"/>
                <w:b w:val="false"/>
                <w:sz w:val="26"/>
              </w:rPr>
              <w:t>Nghị định số 146/2025/NĐ-CP</w:t>
            </w:r>
          </w:p>
        </w:tc>
        <w:tc>
          <w:p/>
          <w:p>
            <w:pPr>
              <w:spacing w:after="0" w:before="0" w:lineRule="auto" w:line="276"/>
              <w:jc w:val="left"/>
            </w:pPr>
            <w:r>
              <w:rPr>
                <w:rFonts w:ascii="Times New Roman" w:hAnsi="Times New Roman" w:cs="Times New Roman" w:eastAsia="Times New Roman"/>
                <w:b w:val="false"/>
                <w:sz w:val="26"/>
              </w:rPr>
              <w:t>12-06-2025</w:t>
            </w:r>
          </w:p>
        </w:tc>
        <w:tc>
          <w:p/>
        </w:tc>
      </w:tr>
      <w:tr>
        <w:tc>
          <w:p/>
          <w:p>
            <w:pPr>
              <w:spacing w:after="0" w:before="0" w:lineRule="auto" w:line="276"/>
              <w:jc w:val="left"/>
            </w:pPr>
            <w:r>
              <w:rPr>
                <w:rFonts w:ascii="Times New Roman" w:hAnsi="Times New Roman" w:cs="Times New Roman" w:eastAsia="Times New Roman"/>
                <w:b w:val="false"/>
                <w:sz w:val="26"/>
              </w:rPr>
              <w:t>Thông tư số 42/2025/TT-BCT</w:t>
            </w:r>
          </w:p>
        </w:tc>
        <w:tc>
          <w:p/>
          <w:p>
            <w:pPr>
              <w:spacing w:after="0" w:before="0" w:lineRule="auto" w:line="276"/>
              <w:jc w:val="left"/>
            </w:pPr>
            <w:r>
              <w:rPr>
                <w:rFonts w:ascii="Times New Roman" w:hAnsi="Times New Roman" w:cs="Times New Roman" w:eastAsia="Times New Roman"/>
                <w:b w:val="false"/>
                <w:sz w:val="26"/>
              </w:rPr>
              <w:t>Thông tư số 42/2025/TT-BCT</w:t>
            </w:r>
          </w:p>
        </w:tc>
        <w:tc>
          <w:p/>
          <w:p>
            <w:pPr>
              <w:spacing w:after="0" w:before="0" w:lineRule="auto" w:line="276"/>
              <w:jc w:val="left"/>
            </w:pPr>
            <w:r>
              <w:rPr>
                <w:rFonts w:ascii="Times New Roman" w:hAnsi="Times New Roman" w:cs="Times New Roman" w:eastAsia="Times New Roman"/>
                <w:b w:val="false"/>
                <w:sz w:val="26"/>
              </w:rPr>
              <w:t>22-06-2025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Sản phẩm, hàng hóa, dịch vụ áp dụng hợp đồng theo mẫu, điều kiện giao dịch chung thuộc Danh mục sản phẩm, hàng hóa, dịch vụ phải đăng ký do Thủ tướng Chính phủ ban hành.
- Tuân thủ đầy đủ quy định tại Điều 11 của Nghị định số 55/2024/NĐ-CP.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2026-05-05T15:31:28Z</dcterms:created>
  <dc:creator>Apache POI</dc:creator>
</cp:coreProperties>
</file>