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1.000765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phép kinh doanh dịch vụ tin cậy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1.</w:t>
      </w:r>
    </w:p>
    <w:p>
      <w:pPr>
        <w:spacing w:after="0" w:before="0" w:lineRule="auto" w:line="276"/>
        <w:jc w:val="both"/>
      </w:pPr>
      <w:r>
        <w:rPr>
          <w:rFonts w:ascii="Times New Roman" w:hAnsi="Times New Roman" w:cs="Times New Roman" w:eastAsia="Times New Roman"/>
          <w:b w:val="false"/>
          <w:sz w:val="26"/>
        </w:rPr>
        <w:t>Để đảm bảo tính liên tục của việc cung cấp dịch vụ, doanh nghiệp có mong muốn tiếp tục cung cấp dịch vụ phải nộp hồ sơ đề nghị cấp lại giấy phép tối thiểu 90 ngày trước ngày giấy phép hết hạn.</w:t>
      </w:r>
    </w:p>
    <w:p>
      <w:pPr>
        <w:spacing w:after="0" w:before="0" w:lineRule="auto" w:line="276"/>
        <w:jc w:val="both"/>
      </w:pPr>
      <w:r>
        <w:rPr>
          <w:rFonts w:ascii="Times New Roman" w:hAnsi="Times New Roman" w:cs="Times New Roman" w:eastAsia="Times New Roman"/>
          <w:b w:val="false"/>
          <w:sz w:val="26"/>
        </w:rPr>
        <w:t>Trong thời hạn 30 ngày kể từ ngày nhận được hồ sơ hợp lệ, Bộ Thông tin và Truyền thông chủ trì, phối hợp với Bộ Công an, Ban Cơ yếu Chính phủ và các Bộ, ngành có liên quan thẩm tra hồ sơ và kiểm tra việc doanh nghiệp đáp ứng các điều kiện cấp phép trên thực tế và cấp lại giấy phép cho doanh nghiệp trong trường hợp doanh nghiệp đáp ứng đủ các điều kiện cấp phép, Bộ Thông tin và Truyền thông cấp lại giấy phép cho doanh nghiệp. Trường hợp từ chối, Bộ Thông tin và Truyền thông có văn bản thông báo và nêu rõ lý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3000 Đồng</w:t>
              <w:t xml:space="preserve"> (Thông tư số 305/2016/TT-BTC ngày 15/11/2016 của Bộ Tài chính quy định mức thu, chế độ thu, nộp, quản lý và sử dụng phí dịch vụ duy trì hệ thống kiểm tra trạng thái chứng thư số Thông tư số 17/2018/TT-BTC sửa đổi, bổ sung một số điều của Thông tư số 305/2016/TT-BTC.)</w:t>
            </w:r>
          </w:p>
        </w:tc>
        <w:tc>
          <w:p/>
          <w:p>
            <w:pPr>
              <w:spacing w:after="0" w:before="0" w:lineRule="auto" w:line="276"/>
              <w:jc w:val="left"/>
            </w:pPr>
            <w:r>
              <w:rPr>
                <w:rFonts w:ascii="Times New Roman" w:hAnsi="Times New Roman" w:cs="Times New Roman" w:eastAsia="Times New Roman"/>
                <w:b w:val="false"/>
                <w:sz w:val="26"/>
              </w:rPr>
              <w:t>30 ngày kể từ ngày nhận đủ hồ sơ hợp lệ</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3000 Đồng</w:t>
              <w:t xml:space="preserve"> (Thông tư số 305/2016/TT-BTC ngày 15/11/2016 của Bộ Tài chính quy định mức thu, chế độ thu, nộp, quản lý và sử dụng phí dịch vụ duy trì hệ thống kiểm tra trạng thái chứng thư số Thông tư số 17/2018/TT-BTC sửa đổi, bổ sung một số điều của Thông tư số 305/2016/TT-BTC.)</w:t>
            </w:r>
          </w:p>
        </w:tc>
        <w:tc>
          <w:p/>
          <w:p>
            <w:pPr>
              <w:spacing w:after="0" w:before="0" w:lineRule="auto" w:line="276"/>
              <w:jc w:val="left"/>
            </w:pPr>
            <w:r>
              <w:rPr>
                <w:rFonts w:ascii="Times New Roman" w:hAnsi="Times New Roman" w:cs="Times New Roman" w:eastAsia="Times New Roman"/>
                <w:b w:val="false"/>
                <w:sz w:val="26"/>
              </w:rPr>
              <w:t>30 ngày kể từ ngày nhận đủ hồ sơ hợp lệ</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phép cung cấp dịch vụ chứng thực chữ ký số công cộng</w:t>
            </w:r>
          </w:p>
        </w:tc>
        <w:tc>
          <w:p/>
          <w:p>
            <w:pPr>
              <w:spacing w:after="0" w:before="0" w:lineRule="auto" w:line="276"/>
              <w:jc w:val="left"/>
            </w:pPr>
            <w:r>
              <w:rPr>
                <w:rFonts w:ascii="Times New Roman" w:hAnsi="Times New Roman" w:cs="Times New Roman" w:eastAsia="Times New Roman"/>
                <w:b w:val="false"/>
                <w:sz w:val="26"/>
              </w:rPr>
              <w:t>Mẫu số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Giấy xác nhận ký quỹ của một ngân hàng thương mại hoạt động tại Việt Nam theo quy định tại khoản 2 Điều 14 Nghị định số 130/2018/NĐ-CP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Những thông tin về việc thay đổi nhân sự, kỹ thuật của doanh nghiệp liên quan đến điều kiện cấp phép theo quy định tại các khoản 3, 4 Điều 13 Nghị định số 130/2018/NĐ-CP (nếu có)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Chứng thực điện tử quốc gia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 ( Bộ TTTT cũ)</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Thông tin và Truyền thông 18 Nguyễn Du,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cung cấp dịch vụ chứng thực chữ ký số công cộng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51/2005/QH11</w:t>
            </w:r>
          </w:p>
        </w:tc>
        <w:tc>
          <w:p/>
          <w:p>
            <w:pPr>
              <w:spacing w:after="0" w:before="0" w:lineRule="auto" w:line="276"/>
              <w:jc w:val="left"/>
            </w:pPr>
            <w:r>
              <w:rPr>
                <w:rFonts w:ascii="Times New Roman" w:hAnsi="Times New Roman" w:cs="Times New Roman" w:eastAsia="Times New Roman"/>
                <w:b w:val="false"/>
                <w:sz w:val="26"/>
              </w:rPr>
              <w:t>Luật 51/2005/QH11</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130/2018/NĐ-CP</w:t>
            </w:r>
          </w:p>
        </w:tc>
        <w:tc>
          <w:p/>
          <w:p>
            <w:pPr>
              <w:spacing w:after="0" w:before="0" w:lineRule="auto" w:line="276"/>
              <w:jc w:val="left"/>
            </w:pPr>
            <w:r>
              <w:rPr>
                <w:rFonts w:ascii="Times New Roman" w:hAnsi="Times New Roman" w:cs="Times New Roman" w:eastAsia="Times New Roman"/>
                <w:b w:val="false"/>
                <w:sz w:val="26"/>
              </w:rPr>
              <w:t>Nghị định 130/2018/NĐ-CP</w:t>
            </w:r>
          </w:p>
        </w:tc>
        <w:tc>
          <w:p/>
          <w:p>
            <w:pPr>
              <w:spacing w:after="0" w:before="0" w:lineRule="auto" w:line="276"/>
              <w:jc w:val="left"/>
            </w:pPr>
            <w:r>
              <w:rPr>
                <w:rFonts w:ascii="Times New Roman" w:hAnsi="Times New Roman" w:cs="Times New Roman" w:eastAsia="Times New Roman"/>
                <w:b w:val="false"/>
                <w:sz w:val="26"/>
              </w:rPr>
              <w:t>27-09-2018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Nộp phí dịch vụ duy trì hệ thống kiểm tra trạng thái chứng thư số đầy đủ.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2026-05-27T18:34:43Z</dcterms:created>
  <dc:creator>Apache POI</dc:creator>
</cp:coreProperties>
</file>