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2: Phòng Nội vụ xem xét hồ sơ, trường hợp hồ sơ chưa đầy đủ, hợp lệ, Phòng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Bước 1: Trước khi giảng đạo ngoài địa bàn phụ trách, cơ sở tôn giáo, địa điểm hợp pháp đã đăng ký có quy mô tổ chức ở một huyện, chức sắc, chức việc, nhà tu hành gửi văn bản đề nghị đến Phòng Nội vụ.</w:t>
      </w:r>
    </w:p>
    <w:p>
      <w:pPr>
        <w:spacing w:after="0" w:before="0" w:lineRule="auto" w:line="276"/>
        <w:jc w:val="both"/>
      </w:pPr>
      <w:r>
        <w:rPr>
          <w:rFonts w:ascii="Times New Roman" w:hAnsi="Times New Roman" w:cs="Times New Roman" w:eastAsia="Times New Roman"/>
          <w:b w:val="false"/>
          <w:sz w:val="26"/>
        </w:rPr>
        <w:t>Bước 3:
+ Phòng Nội vụ phối hợp với các cơ quan liên quan thẩm định hồ sơ trình Ủy ban nhân dân cấp huyện.
+ Ủy ban nhân dân cấp huyện căn cứ vào Tờ trình của Phòng Nội vụ chấp thuận hoặc không chấp thuận về việc giảng đạo ngoài địa bàn phụ trách, cuộc lễ ngoài cơ sở tôn giáo, địa điểm hợp pháp đã đăng ký. Trường hợp từ chối đề nghị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Ủy ban nhân dân cấp huyện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Ủy ban nhân dân cấp huyện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Ủy ban nhân dân cấp huyện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Mau 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giảng đạo ngoài địa bàn phụ trách, cơ sở tôn giáo, địa điểm hợp pháp đã đăng ký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2026-05-07T05:26:12Z</dcterms:created>
  <dc:creator>Apache POI</dc:creator>
</cp:coreProperties>
</file>